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698" w:rsidRDefault="00D37698" w:rsidP="00D37698">
      <w:pPr>
        <w:spacing w:line="240" w:lineRule="auto"/>
        <w:ind w:left="2127"/>
        <w:rPr>
          <w:rFonts w:ascii="Calibri" w:eastAsia="Calibri" w:hAnsi="Calibri" w:cs="Times New Roman"/>
          <w:b/>
          <w:sz w:val="28"/>
          <w:szCs w:val="28"/>
        </w:rPr>
      </w:pPr>
      <w:r>
        <w:rPr>
          <w:rFonts w:ascii="Calibri" w:eastAsia="Calibri" w:hAnsi="Calibri" w:cs="Times New Roman"/>
          <w:b/>
          <w:sz w:val="28"/>
          <w:szCs w:val="28"/>
        </w:rPr>
        <w:t>JORC (2012 Edition) Table 1</w:t>
      </w:r>
      <w:bookmarkStart w:id="0" w:name="_GoBack"/>
      <w:bookmarkEnd w:id="0"/>
    </w:p>
    <w:p w:rsidR="00D37698" w:rsidRPr="00FE6BDE" w:rsidRDefault="00D37698" w:rsidP="00D37698">
      <w:pPr>
        <w:spacing w:after="240" w:line="240" w:lineRule="auto"/>
        <w:jc w:val="center"/>
        <w:rPr>
          <w:rFonts w:ascii="Calibri" w:eastAsia="Calibri" w:hAnsi="Calibri" w:cs="Times New Roman"/>
          <w:b/>
          <w:sz w:val="28"/>
          <w:szCs w:val="28"/>
        </w:rPr>
      </w:pPr>
      <w:r w:rsidRPr="00FE6BDE">
        <w:rPr>
          <w:rFonts w:ascii="Calibri" w:eastAsia="Calibri" w:hAnsi="Calibri" w:cs="Times New Roman"/>
          <w:b/>
          <w:sz w:val="28"/>
          <w:szCs w:val="28"/>
        </w:rPr>
        <w:t>Section 1 Sampling Techniques and Data</w:t>
      </w:r>
    </w:p>
    <w:tbl>
      <w:tblPr>
        <w:tblStyle w:val="TableGrid1"/>
        <w:tblW w:w="0" w:type="auto"/>
        <w:tblLook w:val="04A0" w:firstRow="1" w:lastRow="0" w:firstColumn="1" w:lastColumn="0" w:noHBand="0" w:noVBand="1"/>
      </w:tblPr>
      <w:tblGrid>
        <w:gridCol w:w="2268"/>
        <w:gridCol w:w="6974"/>
      </w:tblGrid>
      <w:tr w:rsidR="00D37698" w:rsidRPr="00FE6BDE" w:rsidTr="00373CF7">
        <w:trPr>
          <w:tblHeader/>
        </w:trPr>
        <w:tc>
          <w:tcPr>
            <w:tcW w:w="2268" w:type="dxa"/>
          </w:tcPr>
          <w:p w:rsidR="00D37698" w:rsidRPr="00FE6BDE" w:rsidRDefault="00D37698" w:rsidP="00373CF7">
            <w:pPr>
              <w:spacing w:afterLines="20" w:after="48"/>
              <w:rPr>
                <w:rFonts w:ascii="Calibri" w:eastAsia="Calibri" w:hAnsi="Calibri" w:cs="Times New Roman"/>
                <w:b/>
                <w:sz w:val="28"/>
                <w:szCs w:val="28"/>
              </w:rPr>
            </w:pPr>
            <w:r w:rsidRPr="00FE6BDE">
              <w:rPr>
                <w:rFonts w:ascii="Calibri" w:eastAsia="Calibri" w:hAnsi="Calibri" w:cs="Times New Roman"/>
                <w:b/>
                <w:sz w:val="28"/>
                <w:szCs w:val="28"/>
              </w:rPr>
              <w:t>Criteria</w:t>
            </w:r>
          </w:p>
        </w:tc>
        <w:tc>
          <w:tcPr>
            <w:tcW w:w="6974" w:type="dxa"/>
          </w:tcPr>
          <w:p w:rsidR="00D37698" w:rsidRPr="00FE6BDE" w:rsidRDefault="00D37698" w:rsidP="00373CF7">
            <w:pPr>
              <w:spacing w:afterLines="20" w:after="48"/>
              <w:rPr>
                <w:rFonts w:ascii="Calibri" w:eastAsia="Calibri" w:hAnsi="Calibri" w:cs="Times New Roman"/>
                <w:b/>
                <w:sz w:val="28"/>
                <w:szCs w:val="28"/>
              </w:rPr>
            </w:pPr>
            <w:r w:rsidRPr="00FE6BDE">
              <w:rPr>
                <w:rFonts w:ascii="Calibri" w:eastAsia="Calibri" w:hAnsi="Calibri" w:cs="Times New Roman"/>
                <w:b/>
                <w:sz w:val="28"/>
                <w:szCs w:val="28"/>
              </w:rPr>
              <w:t>Explanation</w:t>
            </w:r>
          </w:p>
        </w:tc>
      </w:tr>
      <w:tr w:rsidR="00D37698" w:rsidRPr="00FE6BDE" w:rsidTr="00373CF7">
        <w:tc>
          <w:tcPr>
            <w:tcW w:w="2268" w:type="dxa"/>
          </w:tcPr>
          <w:p w:rsidR="00D37698" w:rsidRPr="00FE6BDE" w:rsidRDefault="00D37698" w:rsidP="00373CF7">
            <w:pPr>
              <w:spacing w:afterLines="20" w:after="48"/>
              <w:ind w:right="-108"/>
              <w:rPr>
                <w:rFonts w:ascii="Calibri" w:eastAsia="Calibri" w:hAnsi="Calibri" w:cs="Times New Roman"/>
                <w:b/>
                <w:sz w:val="20"/>
                <w:szCs w:val="20"/>
              </w:rPr>
            </w:pPr>
            <w:r w:rsidRPr="00FE6BDE">
              <w:rPr>
                <w:rFonts w:ascii="Calibri" w:eastAsia="Calibri" w:hAnsi="Calibri" w:cs="Times New Roman"/>
                <w:b/>
                <w:sz w:val="20"/>
                <w:szCs w:val="20"/>
              </w:rPr>
              <w:t>Sampling  Techniques -</w:t>
            </w:r>
          </w:p>
          <w:p w:rsidR="00D37698" w:rsidRPr="00FE6BDE" w:rsidRDefault="00D37698" w:rsidP="00373CF7">
            <w:pPr>
              <w:spacing w:afterLines="20" w:after="48"/>
              <w:ind w:right="-108"/>
              <w:rPr>
                <w:rFonts w:ascii="Calibri" w:eastAsia="Calibri" w:hAnsi="Calibri" w:cs="Times New Roman"/>
                <w:sz w:val="20"/>
                <w:szCs w:val="20"/>
              </w:rPr>
            </w:pPr>
            <w:r w:rsidRPr="00FE6BDE">
              <w:rPr>
                <w:rFonts w:ascii="Calibri" w:eastAsia="Calibri" w:hAnsi="Calibri" w:cs="Times New Roman"/>
                <w:i/>
                <w:sz w:val="20"/>
                <w:szCs w:val="20"/>
              </w:rPr>
              <w:t>Nature and quantity of sampling</w:t>
            </w:r>
          </w:p>
          <w:p w:rsidR="00D37698" w:rsidRPr="00FE6BDE" w:rsidRDefault="00D37698" w:rsidP="00373CF7">
            <w:pPr>
              <w:spacing w:afterLines="20" w:after="48"/>
              <w:ind w:right="-108"/>
              <w:rPr>
                <w:rFonts w:ascii="Calibri" w:eastAsia="Calibri" w:hAnsi="Calibri" w:cs="Times New Roman"/>
                <w:sz w:val="20"/>
                <w:szCs w:val="20"/>
              </w:rPr>
            </w:pPr>
          </w:p>
          <w:p w:rsidR="00D37698" w:rsidRPr="00FE6BDE" w:rsidRDefault="00D37698" w:rsidP="00373CF7">
            <w:pPr>
              <w:spacing w:afterLines="20" w:after="48"/>
              <w:ind w:right="-108"/>
              <w:rPr>
                <w:rFonts w:ascii="Calibri" w:eastAsia="Calibri" w:hAnsi="Calibri" w:cs="Times New Roman"/>
                <w:sz w:val="20"/>
                <w:szCs w:val="20"/>
              </w:rPr>
            </w:pPr>
          </w:p>
          <w:p w:rsidR="00D37698" w:rsidRPr="00FE6BDE" w:rsidRDefault="00D37698" w:rsidP="00373CF7">
            <w:pPr>
              <w:spacing w:afterLines="20" w:after="48"/>
              <w:ind w:right="-108"/>
              <w:rPr>
                <w:rFonts w:ascii="Calibri" w:eastAsia="Calibri" w:hAnsi="Calibri" w:cs="Times New Roman"/>
                <w:sz w:val="20"/>
                <w:szCs w:val="20"/>
              </w:rPr>
            </w:pPr>
          </w:p>
          <w:p w:rsidR="00D37698" w:rsidRPr="00FE6BDE" w:rsidRDefault="00D37698" w:rsidP="00373CF7">
            <w:pPr>
              <w:spacing w:afterLines="20" w:after="48"/>
              <w:ind w:right="-108"/>
              <w:rPr>
                <w:rFonts w:ascii="Calibri" w:eastAsia="Calibri" w:hAnsi="Calibri" w:cs="Times New Roman"/>
                <w:i/>
                <w:sz w:val="20"/>
                <w:szCs w:val="20"/>
              </w:rPr>
            </w:pPr>
          </w:p>
        </w:tc>
        <w:tc>
          <w:tcPr>
            <w:tcW w:w="6974" w:type="dxa"/>
          </w:tcPr>
          <w:p w:rsidR="00D37698" w:rsidRPr="00FE6BDE" w:rsidRDefault="00D37698" w:rsidP="00D37698">
            <w:pPr>
              <w:numPr>
                <w:ilvl w:val="0"/>
                <w:numId w:val="7"/>
              </w:numPr>
              <w:spacing w:afterLines="20" w:after="48"/>
              <w:ind w:left="283" w:hanging="215"/>
              <w:contextualSpacing/>
              <w:rPr>
                <w:rFonts w:ascii="Calibri" w:eastAsia="Calibri" w:hAnsi="Calibri" w:cs="Arial"/>
                <w:sz w:val="20"/>
                <w:szCs w:val="20"/>
              </w:rPr>
            </w:pPr>
            <w:r w:rsidRPr="00FE6BDE">
              <w:rPr>
                <w:rFonts w:ascii="Calibri" w:eastAsia="Calibri" w:hAnsi="Calibri" w:cs="Arial"/>
                <w:sz w:val="20"/>
                <w:szCs w:val="20"/>
              </w:rPr>
              <w:t xml:space="preserve">Resources at Bootu Creek (BC) were sampled by 91% Reverse Circulation (RC) and 2% diamond (DD) with 7% open percussion (PC) drilling on a nominal 50m x 25m spaced grid or 100 m x 50 m where classified as Inferred Mineral Resources.  </w:t>
            </w:r>
          </w:p>
          <w:p w:rsidR="00D37698" w:rsidRPr="00FE6BDE" w:rsidRDefault="00D37698" w:rsidP="00D37698">
            <w:pPr>
              <w:numPr>
                <w:ilvl w:val="0"/>
                <w:numId w:val="7"/>
              </w:numPr>
              <w:spacing w:afterLines="20" w:after="48"/>
              <w:ind w:left="283" w:hanging="215"/>
              <w:contextualSpacing/>
              <w:rPr>
                <w:rFonts w:ascii="Calibri" w:eastAsia="Calibri" w:hAnsi="Calibri" w:cs="Arial"/>
                <w:sz w:val="20"/>
                <w:szCs w:val="20"/>
              </w:rPr>
            </w:pPr>
            <w:r w:rsidRPr="00FE6BDE">
              <w:rPr>
                <w:rFonts w:ascii="Calibri" w:eastAsia="Calibri" w:hAnsi="Calibri" w:cs="Arial"/>
                <w:sz w:val="20"/>
                <w:szCs w:val="20"/>
              </w:rPr>
              <w:t>The 31 December 2014 BC resource dataset comprised a total of 3,055 drill holes for 169,520 m.  The Renner West (RW) dataset had 142 drill</w:t>
            </w:r>
            <w:r>
              <w:rPr>
                <w:rFonts w:ascii="Calibri" w:eastAsia="Calibri" w:hAnsi="Calibri" w:cs="Arial"/>
                <w:sz w:val="20"/>
                <w:szCs w:val="20"/>
              </w:rPr>
              <w:t xml:space="preserve"> </w:t>
            </w:r>
            <w:r w:rsidRPr="00FE6BDE">
              <w:rPr>
                <w:rFonts w:ascii="Calibri" w:eastAsia="Calibri" w:hAnsi="Calibri" w:cs="Arial"/>
                <w:sz w:val="20"/>
                <w:szCs w:val="20"/>
              </w:rPr>
              <w:t xml:space="preserve">holes for 6,212 m. </w:t>
            </w:r>
          </w:p>
          <w:p w:rsidR="00D37698" w:rsidRPr="00FE6BDE" w:rsidRDefault="00D37698" w:rsidP="00D37698">
            <w:pPr>
              <w:numPr>
                <w:ilvl w:val="0"/>
                <w:numId w:val="7"/>
              </w:numPr>
              <w:spacing w:afterLines="20" w:after="48"/>
              <w:ind w:left="283" w:hanging="215"/>
              <w:contextualSpacing/>
              <w:rPr>
                <w:rFonts w:ascii="Calibri" w:eastAsia="Calibri" w:hAnsi="Calibri" w:cs="Arial"/>
                <w:sz w:val="20"/>
                <w:szCs w:val="20"/>
              </w:rPr>
            </w:pPr>
            <w:r w:rsidRPr="00FE6BDE">
              <w:rPr>
                <w:rFonts w:ascii="Calibri" w:eastAsia="Calibri" w:hAnsi="Calibri" w:cs="Arial"/>
                <w:sz w:val="20"/>
                <w:szCs w:val="20"/>
              </w:rPr>
              <w:t>Collar locations are picked up by Mine Surveyors using MGA94 co-ordinates.</w:t>
            </w:r>
          </w:p>
          <w:p w:rsidR="00D37698" w:rsidRPr="00FE6BDE" w:rsidRDefault="00D37698" w:rsidP="00D37698">
            <w:pPr>
              <w:numPr>
                <w:ilvl w:val="0"/>
                <w:numId w:val="7"/>
              </w:numPr>
              <w:spacing w:afterLines="20" w:after="48"/>
              <w:ind w:left="283" w:hanging="215"/>
              <w:contextualSpacing/>
              <w:rPr>
                <w:rFonts w:ascii="Calibri" w:eastAsia="Calibri" w:hAnsi="Calibri" w:cs="Arial"/>
                <w:sz w:val="20"/>
                <w:szCs w:val="20"/>
              </w:rPr>
            </w:pPr>
            <w:r w:rsidRPr="00FE6BDE">
              <w:rPr>
                <w:rFonts w:ascii="Calibri" w:eastAsia="Calibri" w:hAnsi="Calibri" w:cs="Arial"/>
                <w:sz w:val="20"/>
                <w:szCs w:val="20"/>
              </w:rPr>
              <w:t xml:space="preserve">RC holes are sampled on 1 metre downhole intervals, rotary split to produce approximately 3 kg samples.  Sample intervals selected for analysis are generally limited to visible manganese mineralisation and adjacent host rock.  </w:t>
            </w:r>
          </w:p>
          <w:p w:rsidR="00D37698" w:rsidRPr="00FE6BDE" w:rsidRDefault="00D37698" w:rsidP="00D37698">
            <w:pPr>
              <w:numPr>
                <w:ilvl w:val="0"/>
                <w:numId w:val="7"/>
              </w:numPr>
              <w:spacing w:afterLines="20" w:after="48"/>
              <w:ind w:left="284" w:hanging="228"/>
              <w:contextualSpacing/>
              <w:rPr>
                <w:rFonts w:ascii="Calibri" w:eastAsia="Calibri" w:hAnsi="Calibri" w:cs="Arial"/>
                <w:sz w:val="20"/>
                <w:szCs w:val="20"/>
              </w:rPr>
            </w:pPr>
            <w:r w:rsidRPr="00FE6BDE">
              <w:rPr>
                <w:rFonts w:ascii="Calibri" w:eastAsia="Calibri" w:hAnsi="Calibri" w:cs="Arial"/>
                <w:sz w:val="20"/>
                <w:szCs w:val="20"/>
              </w:rPr>
              <w:t>All drill samples are crushed, dried and pulverised (total prep) to produce a sub sample for XRF analysis.  Mineralised diamond core is quarter sawn to obtain 1 metre or geological intervals for XRF analysis, with half core retained for density determination and metallurgical test work.</w:t>
            </w:r>
          </w:p>
          <w:p w:rsidR="00D37698" w:rsidRPr="00FE6BDE" w:rsidRDefault="00D37698" w:rsidP="00D37698">
            <w:pPr>
              <w:numPr>
                <w:ilvl w:val="0"/>
                <w:numId w:val="7"/>
              </w:numPr>
              <w:spacing w:afterLines="20" w:after="48"/>
              <w:ind w:left="284" w:hanging="228"/>
              <w:contextualSpacing/>
              <w:rPr>
                <w:rFonts w:ascii="Calibri" w:eastAsia="Calibri" w:hAnsi="Calibri" w:cs="Times New Roman"/>
                <w:sz w:val="20"/>
                <w:szCs w:val="20"/>
              </w:rPr>
            </w:pPr>
            <w:r w:rsidRPr="00FE6BDE">
              <w:rPr>
                <w:rFonts w:ascii="Calibri" w:eastAsia="Calibri" w:hAnsi="Calibri" w:cs="Arial"/>
                <w:sz w:val="20"/>
                <w:szCs w:val="20"/>
              </w:rPr>
              <w:t>Sampling is carried out under OMM protocols to ensure the representivity of drill samples.</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Drilling Technique</w:t>
            </w:r>
          </w:p>
        </w:tc>
        <w:tc>
          <w:tcPr>
            <w:tcW w:w="6974" w:type="dxa"/>
          </w:tcPr>
          <w:p w:rsidR="00D37698" w:rsidRPr="00FE6BDE" w:rsidRDefault="00D37698" w:rsidP="00D37698">
            <w:pPr>
              <w:numPr>
                <w:ilvl w:val="0"/>
                <w:numId w:val="2"/>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RC drilling with 4.5” drill rods and a 5.5” face sampling drill bit.</w:t>
            </w:r>
          </w:p>
          <w:p w:rsidR="00D37698" w:rsidRPr="00FE6BDE" w:rsidRDefault="00D37698" w:rsidP="00D37698">
            <w:pPr>
              <w:numPr>
                <w:ilvl w:val="0"/>
                <w:numId w:val="2"/>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Diamond core generally drilled using a HQ3 core barrel.</w:t>
            </w:r>
          </w:p>
          <w:p w:rsidR="00D37698" w:rsidRPr="00FE6BDE" w:rsidRDefault="00D37698" w:rsidP="00D37698">
            <w:pPr>
              <w:numPr>
                <w:ilvl w:val="0"/>
                <w:numId w:val="2"/>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 xml:space="preserve">Drilling is predominately vertical and the core is not oriented. </w:t>
            </w:r>
          </w:p>
          <w:p w:rsidR="00D37698" w:rsidRPr="00FE6BDE" w:rsidRDefault="00D37698" w:rsidP="00D37698">
            <w:pPr>
              <w:numPr>
                <w:ilvl w:val="0"/>
                <w:numId w:val="2"/>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 xml:space="preserve">Holes range from 5 m to 164 m in depth. </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Drill Sample Recovery</w:t>
            </w:r>
          </w:p>
        </w:tc>
        <w:tc>
          <w:tcPr>
            <w:tcW w:w="6974" w:type="dxa"/>
          </w:tcPr>
          <w:p w:rsidR="00D37698" w:rsidRPr="00FE6BDE" w:rsidRDefault="00D37698" w:rsidP="00D37698">
            <w:pPr>
              <w:numPr>
                <w:ilvl w:val="0"/>
                <w:numId w:val="3"/>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RC drill sample recovery is visually estimated and recorded in geology drill log. Diamond core recovery is measured and recorded.</w:t>
            </w:r>
          </w:p>
          <w:p w:rsidR="00D37698" w:rsidRPr="00FE6BDE" w:rsidRDefault="00D37698" w:rsidP="00D37698">
            <w:pPr>
              <w:numPr>
                <w:ilvl w:val="0"/>
                <w:numId w:val="3"/>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RC rods and the sample cyclone are cleared as frequently as required to maintain satisfactory drill sample recovery and representivity.</w:t>
            </w:r>
          </w:p>
          <w:p w:rsidR="00D37698" w:rsidRPr="00FE6BDE" w:rsidRDefault="00D37698" w:rsidP="00D37698">
            <w:pPr>
              <w:numPr>
                <w:ilvl w:val="0"/>
                <w:numId w:val="3"/>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DD holes use HQ3 size triple tube core barrels to maximise sample recovery.</w:t>
            </w:r>
          </w:p>
          <w:p w:rsidR="00D37698" w:rsidRPr="00FE6BDE" w:rsidRDefault="00D37698" w:rsidP="00D37698">
            <w:pPr>
              <w:numPr>
                <w:ilvl w:val="0"/>
                <w:numId w:val="3"/>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The mineralisation style and consistency of mineralised intervals are considered to preclude any issue of sample bias due to recovery.</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Logging</w:t>
            </w:r>
          </w:p>
        </w:tc>
        <w:tc>
          <w:tcPr>
            <w:tcW w:w="6974" w:type="dxa"/>
          </w:tcPr>
          <w:p w:rsidR="00D37698" w:rsidRPr="00FE6BDE" w:rsidRDefault="00D37698" w:rsidP="00D37698">
            <w:pPr>
              <w:numPr>
                <w:ilvl w:val="0"/>
                <w:numId w:val="4"/>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RC chip and diamond drill core samples are geologically logged to the level of detail required to support the Mineral Resource estimation.  Logging records: lithology, mineralogy, weathering, mineralisation, alteration, colour and other features of the samples.</w:t>
            </w:r>
          </w:p>
          <w:p w:rsidR="00D37698" w:rsidRPr="00FE6BDE" w:rsidRDefault="00D37698" w:rsidP="00D37698">
            <w:pPr>
              <w:numPr>
                <w:ilvl w:val="0"/>
                <w:numId w:val="4"/>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 xml:space="preserve">Geotechnical information is collected from the </w:t>
            </w:r>
            <w:r w:rsidRPr="00FE6BDE">
              <w:rPr>
                <w:rFonts w:ascii="Calibri" w:eastAsia="Calibri" w:hAnsi="Calibri" w:cs="Times New Roman"/>
                <w:b/>
                <w:sz w:val="20"/>
                <w:szCs w:val="20"/>
              </w:rPr>
              <w:t>BC</w:t>
            </w:r>
            <w:r w:rsidRPr="00FE6BDE">
              <w:rPr>
                <w:rFonts w:ascii="Calibri" w:eastAsia="Calibri" w:hAnsi="Calibri" w:cs="Times New Roman"/>
                <w:sz w:val="20"/>
                <w:szCs w:val="20"/>
              </w:rPr>
              <w:t xml:space="preserve"> operations open pits.</w:t>
            </w:r>
          </w:p>
          <w:p w:rsidR="00D37698" w:rsidRPr="00FE6BDE" w:rsidRDefault="00D37698" w:rsidP="00D37698">
            <w:pPr>
              <w:numPr>
                <w:ilvl w:val="0"/>
                <w:numId w:val="4"/>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All diamond drill core is photographed.</w:t>
            </w:r>
          </w:p>
          <w:p w:rsidR="00D37698" w:rsidRPr="00FE6BDE" w:rsidRDefault="00D37698" w:rsidP="00D37698">
            <w:pPr>
              <w:numPr>
                <w:ilvl w:val="0"/>
                <w:numId w:val="4"/>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 xml:space="preserve"> The total length of all exploration and resource delineation drilling is logged.</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Sub-sampling</w:t>
            </w:r>
          </w:p>
        </w:tc>
        <w:tc>
          <w:tcPr>
            <w:tcW w:w="6974" w:type="dxa"/>
          </w:tcPr>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Diamond core assay samples are quarter sawn, oven dried, jaw crushed and fully pulverised before splitting off an XRF assay sub-sample.   </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RC samples are rotary split to produce a sample of an approximately 3 kg in weight.   High volume and high pressure air is used when RC drilling to ensure the sample return is kept as dry as possible.</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RC samples submitted for assay are oven dried, jaw crushed and fully pulverised before splitting off an XRF assay sub-sample.</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QC procedures involve the use of field duplicates, certified BC standards (insertion rate of approx. 1:130) and the use of a number of commercial laboratories for analysis.</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Appropriate industry standard sample preparation techniques and quality control procedures (ISO4296/2) are utilised by the contracted onsite laboratory and offsite commercial laboratories to maximise sample representivity.</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Drill sample field duplicates are taken to ensure sampling is representative of </w:t>
            </w:r>
            <w:r w:rsidRPr="00FE6BDE">
              <w:rPr>
                <w:rFonts w:ascii="Calibri" w:eastAsia="Calibri" w:hAnsi="Calibri" w:cs="Times New Roman"/>
                <w:sz w:val="20"/>
                <w:szCs w:val="20"/>
              </w:rPr>
              <w:lastRenderedPageBreak/>
              <w:t>the in-situ sample material collected.</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 Sample sizes are appropriate for the grain size of the material being sampled based on the mineralisation style, intersection thickness and percent assay ranges for the primary elements. </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lastRenderedPageBreak/>
              <w:t>Quality of assay data and laboratory tests</w:t>
            </w:r>
          </w:p>
        </w:tc>
        <w:tc>
          <w:tcPr>
            <w:tcW w:w="6974" w:type="dxa"/>
          </w:tcPr>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The analytical techniques use an XRF multi element suite for assaying Mn, Fe, Al</w:t>
            </w:r>
            <w:r w:rsidRPr="00FE6BDE">
              <w:rPr>
                <w:rFonts w:ascii="Calibri" w:eastAsia="Calibri" w:hAnsi="Calibri" w:cs="Times New Roman"/>
                <w:sz w:val="20"/>
                <w:szCs w:val="20"/>
                <w:vertAlign w:val="subscript"/>
              </w:rPr>
              <w:t>2</w:t>
            </w:r>
            <w:r w:rsidRPr="00FE6BDE">
              <w:rPr>
                <w:rFonts w:ascii="Calibri" w:eastAsia="Calibri" w:hAnsi="Calibri" w:cs="Times New Roman"/>
                <w:sz w:val="20"/>
                <w:szCs w:val="20"/>
              </w:rPr>
              <w:t>O</w:t>
            </w:r>
            <w:r w:rsidRPr="00FE6BDE">
              <w:rPr>
                <w:rFonts w:ascii="Calibri" w:eastAsia="Calibri" w:hAnsi="Calibri" w:cs="Times New Roman"/>
                <w:sz w:val="20"/>
                <w:szCs w:val="20"/>
                <w:vertAlign w:val="subscript"/>
              </w:rPr>
              <w:t>3</w:t>
            </w:r>
            <w:r w:rsidRPr="00FE6BDE">
              <w:rPr>
                <w:rFonts w:ascii="Calibri" w:eastAsia="Calibri" w:hAnsi="Calibri" w:cs="Times New Roman"/>
                <w:sz w:val="20"/>
                <w:szCs w:val="20"/>
              </w:rPr>
              <w:t>, SiO</w:t>
            </w:r>
            <w:r w:rsidRPr="00FE6BDE">
              <w:rPr>
                <w:rFonts w:ascii="Calibri" w:eastAsia="Calibri" w:hAnsi="Calibri" w:cs="Times New Roman"/>
                <w:sz w:val="20"/>
                <w:szCs w:val="20"/>
                <w:vertAlign w:val="subscript"/>
              </w:rPr>
              <w:t>2</w:t>
            </w:r>
            <w:r w:rsidRPr="00FE6BDE">
              <w:rPr>
                <w:rFonts w:ascii="Calibri" w:eastAsia="Calibri" w:hAnsi="Calibri" w:cs="Times New Roman"/>
                <w:sz w:val="20"/>
                <w:szCs w:val="20"/>
              </w:rPr>
              <w:t xml:space="preserve">, P, Pb, S, TiO2, </w:t>
            </w:r>
            <w:proofErr w:type="spellStart"/>
            <w:r w:rsidRPr="00FE6BDE">
              <w:rPr>
                <w:rFonts w:ascii="Calibri" w:eastAsia="Calibri" w:hAnsi="Calibri" w:cs="Times New Roman"/>
                <w:sz w:val="20"/>
                <w:szCs w:val="20"/>
              </w:rPr>
              <w:t>MgO</w:t>
            </w:r>
            <w:proofErr w:type="spellEnd"/>
            <w:r w:rsidRPr="00FE6BDE">
              <w:rPr>
                <w:rFonts w:ascii="Calibri" w:eastAsia="Calibri" w:hAnsi="Calibri" w:cs="Times New Roman"/>
                <w:sz w:val="20"/>
                <w:szCs w:val="20"/>
              </w:rPr>
              <w:t>, K</w:t>
            </w:r>
            <w:r w:rsidRPr="00FE6BDE">
              <w:rPr>
                <w:rFonts w:ascii="Calibri" w:eastAsia="Calibri" w:hAnsi="Calibri" w:cs="Times New Roman"/>
                <w:sz w:val="20"/>
                <w:szCs w:val="20"/>
                <w:vertAlign w:val="subscript"/>
              </w:rPr>
              <w:t>2</w:t>
            </w:r>
            <w:r w:rsidRPr="00FE6BDE">
              <w:rPr>
                <w:rFonts w:ascii="Calibri" w:eastAsia="Calibri" w:hAnsi="Calibri" w:cs="Times New Roman"/>
                <w:sz w:val="20"/>
                <w:szCs w:val="20"/>
              </w:rPr>
              <w:t xml:space="preserve">O, BaO, </w:t>
            </w:r>
            <w:proofErr w:type="spellStart"/>
            <w:r w:rsidRPr="00FE6BDE">
              <w:rPr>
                <w:rFonts w:ascii="Calibri" w:eastAsia="Calibri" w:hAnsi="Calibri" w:cs="Times New Roman"/>
                <w:sz w:val="20"/>
                <w:szCs w:val="20"/>
              </w:rPr>
              <w:t>CaO</w:t>
            </w:r>
            <w:proofErr w:type="spellEnd"/>
            <w:r w:rsidRPr="00FE6BDE">
              <w:rPr>
                <w:rFonts w:ascii="Calibri" w:eastAsia="Calibri" w:hAnsi="Calibri" w:cs="Times New Roman"/>
                <w:sz w:val="20"/>
                <w:szCs w:val="20"/>
              </w:rPr>
              <w:t xml:space="preserve">, Cu and Zn. LOI (loss on ignition) is assessed by thermo-gravimetric determination technique. </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No geophysical tools were used to determine any element concentrations used in any of the resource estimates.</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Laboratory QAQC involves the use of internal laboratory standards using certified reference material, blanks, splits and replicates as part of the in house procedures.  </w:t>
            </w:r>
          </w:p>
          <w:p w:rsidR="00D37698" w:rsidRPr="00FE6BDE" w:rsidRDefault="00D37698" w:rsidP="00D37698">
            <w:pPr>
              <w:pStyle w:val="ListParagraph"/>
              <w:numPr>
                <w:ilvl w:val="0"/>
                <w:numId w:val="4"/>
              </w:numPr>
              <w:ind w:left="284" w:hanging="214"/>
              <w:jc w:val="both"/>
              <w:rPr>
                <w:rFonts w:ascii="Calibri" w:eastAsia="Calibri" w:hAnsi="Calibri" w:cs="Times New Roman"/>
                <w:sz w:val="20"/>
                <w:szCs w:val="20"/>
              </w:rPr>
            </w:pPr>
            <w:r w:rsidRPr="00FE6BDE">
              <w:rPr>
                <w:rFonts w:ascii="Calibri" w:eastAsia="Calibri" w:hAnsi="Calibri" w:cs="Times New Roman"/>
                <w:sz w:val="20"/>
                <w:szCs w:val="20"/>
              </w:rPr>
              <w:t>BC independently developed 6 reference standards in 2007 and 2010 for a range of grade values, using blends of Mn, Fe and quartz material.  These were sent to 10 commercial laboratories with returned values in the +/-2% range against the expected value. The BC standards are submitted with each assay batch and results are monitored to maintain an independent check on laboratory assays.</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 xml:space="preserve">Verification of sampling and assaying    </w:t>
            </w:r>
          </w:p>
        </w:tc>
        <w:tc>
          <w:tcPr>
            <w:tcW w:w="6974" w:type="dxa"/>
          </w:tcPr>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Significant drill intersections are verified by alternative company personnel, generally the Geology Manager for OMM.</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Twined holes were used in initial exploration/pre-feasibility phase but are not considered necessary in the current mature mining phase.</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Data entry, verification and storage protocols are in place and managed by a dedicated GIS/Database Manager. </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No adjustments of primary assay data (high grade cuts, etc.) are considered necessary.</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Location of data points</w:t>
            </w:r>
          </w:p>
        </w:tc>
        <w:tc>
          <w:tcPr>
            <w:tcW w:w="6974" w:type="dxa"/>
          </w:tcPr>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Drill collars used for Mineral Resource delineation are surveyed using the mine based DGPS survey equipment.</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All locations are picked up and quoted in MGA94 grid format.</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Mine lease topography is based on </w:t>
            </w:r>
            <w:proofErr w:type="spellStart"/>
            <w:r w:rsidRPr="00FE6BDE">
              <w:rPr>
                <w:rFonts w:ascii="Calibri" w:eastAsia="Calibri" w:hAnsi="Calibri" w:cs="Times New Roman"/>
                <w:sz w:val="20"/>
                <w:szCs w:val="20"/>
              </w:rPr>
              <w:t>ortho</w:t>
            </w:r>
            <w:proofErr w:type="spellEnd"/>
            <w:r w:rsidRPr="00FE6BDE">
              <w:rPr>
                <w:rFonts w:ascii="Calibri" w:eastAsia="Calibri" w:hAnsi="Calibri" w:cs="Times New Roman"/>
                <w:sz w:val="20"/>
                <w:szCs w:val="20"/>
              </w:rPr>
              <w:t>-rectified aerial photography (2013) to produce a DTM based on a 5 m x 5 m centred grid with +/- 0.5 m RL accuracy.</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Data spacing and distribution</w:t>
            </w:r>
          </w:p>
        </w:tc>
        <w:tc>
          <w:tcPr>
            <w:tcW w:w="6974" w:type="dxa"/>
          </w:tcPr>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Data spacing is generally based on a 50 m x 25 m drill grid, with minor areas of 100 m x 50 m spacing.</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The data spacing and distribution is sufficient to establish the degree of geological and grade continuity appropriate for the Mineral Resource classification being quoted and for the Ore Reserve estimation.</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Sample support is consistent with 1 m RC composite sample length applied and utilised for Mineral Resource estimation.</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Orientation of data in relation to geological structure</w:t>
            </w:r>
          </w:p>
        </w:tc>
        <w:tc>
          <w:tcPr>
            <w:tcW w:w="6974" w:type="dxa"/>
          </w:tcPr>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The manganese deposits at Bootu Creek are shallow dipping (average 30</w:t>
            </w:r>
            <w:r w:rsidRPr="00FE6BDE">
              <w:rPr>
                <w:rFonts w:ascii="Calibri" w:eastAsia="Calibri" w:hAnsi="Calibri" w:cs="Times New Roman"/>
                <w:sz w:val="20"/>
                <w:szCs w:val="20"/>
                <w:vertAlign w:val="superscript"/>
              </w:rPr>
              <w:t>o</w:t>
            </w:r>
            <w:r w:rsidRPr="00FE6BDE">
              <w:rPr>
                <w:rFonts w:ascii="Calibri" w:eastAsia="Calibri" w:hAnsi="Calibri" w:cs="Times New Roman"/>
                <w:sz w:val="20"/>
                <w:szCs w:val="20"/>
              </w:rPr>
              <w:t xml:space="preserve"> dip), strata-bound and relatively planar.</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Drill orientation is predominately vertical and any interaction with local faults or fold structures is not considered to introduce bias into the sampling results. </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Sample Security</w:t>
            </w:r>
          </w:p>
        </w:tc>
        <w:tc>
          <w:tcPr>
            <w:tcW w:w="6974" w:type="dxa"/>
          </w:tcPr>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Sample security is not considered a significant risk.</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Most exploration samples are processed by the on-site laboratory and results are validated against the drill logs.</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Audit or reviews</w:t>
            </w:r>
          </w:p>
        </w:tc>
        <w:tc>
          <w:tcPr>
            <w:tcW w:w="6974" w:type="dxa"/>
          </w:tcPr>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No recent audits or reviews of sampling techniques, other than ongoing internal review, have been conducted.  The database was last reviewed by Optiro for the 31 December 2012 Mineral Resource estimate.</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No new resource delineation drilling has been conducted since and that drill database is still current.</w:t>
            </w:r>
          </w:p>
        </w:tc>
      </w:tr>
    </w:tbl>
    <w:p w:rsidR="00D37698" w:rsidRPr="00FE6BDE" w:rsidRDefault="00D37698" w:rsidP="00D37698">
      <w:pPr>
        <w:rPr>
          <w:rFonts w:ascii="Calibri" w:eastAsia="Calibri" w:hAnsi="Calibri" w:cs="Times New Roman"/>
          <w:sz w:val="20"/>
          <w:szCs w:val="20"/>
        </w:rPr>
      </w:pPr>
      <w:r w:rsidRPr="00FE6BDE">
        <w:rPr>
          <w:rFonts w:ascii="Calibri" w:eastAsia="Calibri" w:hAnsi="Calibri" w:cs="Times New Roman"/>
          <w:sz w:val="20"/>
          <w:szCs w:val="20"/>
        </w:rPr>
        <w:br w:type="page"/>
      </w:r>
    </w:p>
    <w:p w:rsidR="00D37698" w:rsidRPr="00FE6BDE" w:rsidRDefault="00D37698" w:rsidP="00D37698">
      <w:pPr>
        <w:spacing w:after="120"/>
        <w:rPr>
          <w:rFonts w:ascii="Calibri" w:eastAsia="Calibri" w:hAnsi="Calibri" w:cs="Times New Roman"/>
          <w:b/>
          <w:sz w:val="28"/>
          <w:szCs w:val="28"/>
        </w:rPr>
      </w:pPr>
      <w:r w:rsidRPr="00FE6BDE">
        <w:rPr>
          <w:rFonts w:ascii="Calibri" w:eastAsia="Calibri" w:hAnsi="Calibri" w:cs="Times New Roman"/>
          <w:b/>
          <w:sz w:val="28"/>
          <w:szCs w:val="28"/>
        </w:rPr>
        <w:lastRenderedPageBreak/>
        <w:t>Section 2 Reporting of Exploration Results</w:t>
      </w:r>
    </w:p>
    <w:tbl>
      <w:tblPr>
        <w:tblStyle w:val="TableGrid1"/>
        <w:tblW w:w="0" w:type="auto"/>
        <w:tblLook w:val="04A0" w:firstRow="1" w:lastRow="0" w:firstColumn="1" w:lastColumn="0" w:noHBand="0" w:noVBand="1"/>
      </w:tblPr>
      <w:tblGrid>
        <w:gridCol w:w="2268"/>
        <w:gridCol w:w="6974"/>
      </w:tblGrid>
      <w:tr w:rsidR="00D37698" w:rsidRPr="00FE6BDE" w:rsidTr="00373CF7">
        <w:tc>
          <w:tcPr>
            <w:tcW w:w="2268" w:type="dxa"/>
          </w:tcPr>
          <w:p w:rsidR="00D37698" w:rsidRPr="00FE6BDE" w:rsidRDefault="00D37698" w:rsidP="00373CF7">
            <w:pPr>
              <w:spacing w:afterLines="20" w:after="48"/>
              <w:rPr>
                <w:rFonts w:ascii="Calibri" w:eastAsia="Calibri" w:hAnsi="Calibri" w:cs="Times New Roman"/>
                <w:b/>
                <w:sz w:val="28"/>
                <w:szCs w:val="28"/>
              </w:rPr>
            </w:pPr>
            <w:r w:rsidRPr="00FE6BDE">
              <w:rPr>
                <w:rFonts w:ascii="Calibri" w:eastAsia="Calibri" w:hAnsi="Calibri" w:cs="Times New Roman"/>
                <w:b/>
                <w:sz w:val="28"/>
                <w:szCs w:val="28"/>
              </w:rPr>
              <w:t>Criteria</w:t>
            </w:r>
          </w:p>
        </w:tc>
        <w:tc>
          <w:tcPr>
            <w:tcW w:w="6974" w:type="dxa"/>
          </w:tcPr>
          <w:p w:rsidR="00D37698" w:rsidRPr="00FE6BDE" w:rsidRDefault="00D37698" w:rsidP="00373CF7">
            <w:pPr>
              <w:spacing w:afterLines="20" w:after="48"/>
              <w:rPr>
                <w:rFonts w:ascii="Calibri" w:eastAsia="Calibri" w:hAnsi="Calibri" w:cs="Times New Roman"/>
                <w:b/>
                <w:sz w:val="28"/>
                <w:szCs w:val="28"/>
              </w:rPr>
            </w:pPr>
            <w:r w:rsidRPr="00FE6BDE">
              <w:rPr>
                <w:rFonts w:ascii="Calibri" w:eastAsia="Calibri" w:hAnsi="Calibri" w:cs="Times New Roman"/>
                <w:b/>
                <w:sz w:val="28"/>
                <w:szCs w:val="28"/>
              </w:rPr>
              <w:t>Explanation</w:t>
            </w:r>
          </w:p>
        </w:tc>
      </w:tr>
      <w:tr w:rsidR="00D37698" w:rsidRPr="00FE6BDE" w:rsidTr="00373CF7">
        <w:tc>
          <w:tcPr>
            <w:tcW w:w="2268" w:type="dxa"/>
          </w:tcPr>
          <w:p w:rsidR="00D37698" w:rsidRPr="00FE6BDE" w:rsidRDefault="00D37698" w:rsidP="00373CF7">
            <w:pPr>
              <w:spacing w:afterLines="20" w:after="48"/>
              <w:ind w:right="-108"/>
              <w:rPr>
                <w:rFonts w:ascii="Calibri" w:eastAsia="Calibri" w:hAnsi="Calibri" w:cs="Times New Roman"/>
                <w:sz w:val="20"/>
                <w:szCs w:val="20"/>
              </w:rPr>
            </w:pPr>
            <w:r w:rsidRPr="00FE6BDE">
              <w:rPr>
                <w:rFonts w:ascii="Calibri" w:eastAsia="Calibri" w:hAnsi="Calibri" w:cs="Times New Roman"/>
                <w:sz w:val="20"/>
                <w:szCs w:val="20"/>
              </w:rPr>
              <w:t>Mineral tenement and land tenure status</w:t>
            </w:r>
          </w:p>
        </w:tc>
        <w:tc>
          <w:tcPr>
            <w:tcW w:w="6974" w:type="dxa"/>
          </w:tcPr>
          <w:p w:rsidR="00D37698" w:rsidRPr="00FE6BDE" w:rsidRDefault="00D37698" w:rsidP="00D37698">
            <w:pPr>
              <w:numPr>
                <w:ilvl w:val="0"/>
                <w:numId w:val="1"/>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All Bootu Creek resource models, other than Renner West, are located within Mineral Lease ML24031, located 120km north of Tennant Creek, Northern Territory, Australia.</w:t>
            </w:r>
          </w:p>
          <w:p w:rsidR="00D37698" w:rsidRPr="00FE6BDE" w:rsidRDefault="00D37698" w:rsidP="00D37698">
            <w:pPr>
              <w:numPr>
                <w:ilvl w:val="0"/>
                <w:numId w:val="1"/>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The Renner West Inferred Mineral Resource is located on EL28041 and located 70km NW of the Bootu Creek mine site.</w:t>
            </w:r>
          </w:p>
          <w:p w:rsidR="00D37698" w:rsidRPr="00FE6BDE" w:rsidRDefault="00D37698" w:rsidP="00D37698">
            <w:pPr>
              <w:numPr>
                <w:ilvl w:val="0"/>
                <w:numId w:val="5"/>
              </w:numPr>
              <w:spacing w:afterLines="20" w:after="48"/>
              <w:ind w:left="283" w:hanging="187"/>
              <w:contextualSpacing/>
              <w:rPr>
                <w:rFonts w:ascii="Calibri" w:eastAsia="Calibri" w:hAnsi="Calibri" w:cs="Times New Roman"/>
                <w:sz w:val="20"/>
                <w:szCs w:val="20"/>
              </w:rPr>
            </w:pPr>
            <w:r w:rsidRPr="00FE6BDE">
              <w:rPr>
                <w:rFonts w:ascii="Calibri" w:eastAsia="Calibri" w:hAnsi="Calibri" w:cs="Times New Roman"/>
                <w:sz w:val="20"/>
                <w:szCs w:val="20"/>
              </w:rPr>
              <w:t>Both tenements are granted, 100% owned by OMM and have no security of tenure issues at the time of reporting.</w:t>
            </w:r>
          </w:p>
        </w:tc>
      </w:tr>
      <w:tr w:rsidR="00D37698" w:rsidRPr="00FE6BDE" w:rsidTr="00373CF7">
        <w:tc>
          <w:tcPr>
            <w:tcW w:w="2268" w:type="dxa"/>
          </w:tcPr>
          <w:p w:rsidR="00D37698" w:rsidRPr="00FE6BDE" w:rsidRDefault="00D37698" w:rsidP="00373CF7">
            <w:pPr>
              <w:spacing w:afterLines="20" w:after="48"/>
              <w:ind w:right="-108"/>
              <w:rPr>
                <w:rFonts w:ascii="Calibri" w:eastAsia="Calibri" w:hAnsi="Calibri" w:cs="Times New Roman"/>
                <w:sz w:val="20"/>
                <w:szCs w:val="20"/>
              </w:rPr>
            </w:pPr>
            <w:r w:rsidRPr="00FE6BDE">
              <w:rPr>
                <w:rFonts w:ascii="Calibri" w:eastAsia="Calibri" w:hAnsi="Calibri" w:cs="Times New Roman"/>
                <w:sz w:val="20"/>
                <w:szCs w:val="20"/>
              </w:rPr>
              <w:t>Exploration done by other parties</w:t>
            </w:r>
          </w:p>
        </w:tc>
        <w:tc>
          <w:tcPr>
            <w:tcW w:w="6974" w:type="dxa"/>
          </w:tcPr>
          <w:p w:rsidR="00D37698" w:rsidRPr="00FE6BDE" w:rsidRDefault="00D37698" w:rsidP="00D37698">
            <w:pPr>
              <w:numPr>
                <w:ilvl w:val="0"/>
                <w:numId w:val="1"/>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Prospectors identified manganese outcrops and conducted small scale mining between 1955 and 1969. BHP Ltd conducted AEM and limited drilling in mid-1990’s identifying manganese beneath shallow cover (</w:t>
            </w:r>
            <w:proofErr w:type="spellStart"/>
            <w:r w:rsidRPr="00FE6BDE">
              <w:rPr>
                <w:rFonts w:ascii="Calibri" w:eastAsia="Calibri" w:hAnsi="Calibri" w:cs="Times New Roman"/>
                <w:i/>
                <w:sz w:val="20"/>
                <w:szCs w:val="20"/>
              </w:rPr>
              <w:t>Ferenczi</w:t>
            </w:r>
            <w:proofErr w:type="spellEnd"/>
            <w:r w:rsidRPr="00FE6BDE">
              <w:rPr>
                <w:rFonts w:ascii="Calibri" w:eastAsia="Calibri" w:hAnsi="Calibri" w:cs="Times New Roman"/>
                <w:sz w:val="20"/>
                <w:szCs w:val="20"/>
              </w:rPr>
              <w:t>, 2001).</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Geology</w:t>
            </w:r>
          </w:p>
        </w:tc>
        <w:tc>
          <w:tcPr>
            <w:tcW w:w="6974" w:type="dxa"/>
          </w:tcPr>
          <w:p w:rsidR="00D37698" w:rsidRPr="00FE6BDE" w:rsidRDefault="00D37698" w:rsidP="00D37698">
            <w:pPr>
              <w:numPr>
                <w:ilvl w:val="0"/>
                <w:numId w:val="3"/>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The Bootu Creek manganese deposits are strata-bound, located at the contact between the underlying dolomite-siltstone Attack Creek Formation and the overlying ridge forming sandstone of the Bootu Formations in the Tomkinson Group, within the Ashburton Province of the Palaeozoic Tennant Creek Inlier. </w:t>
            </w:r>
          </w:p>
          <w:p w:rsidR="00D37698" w:rsidRPr="00FE6BDE" w:rsidRDefault="00D37698" w:rsidP="00D37698">
            <w:pPr>
              <w:numPr>
                <w:ilvl w:val="0"/>
                <w:numId w:val="3"/>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The mineralised horizon is folded around the gentle NNW plunging Bootu Syncline, can be traced 24km and dips around 30</w:t>
            </w:r>
            <w:r w:rsidRPr="00FE6BDE">
              <w:rPr>
                <w:rFonts w:ascii="Calibri" w:eastAsia="Calibri" w:hAnsi="Calibri" w:cs="Times New Roman"/>
                <w:sz w:val="20"/>
                <w:szCs w:val="20"/>
                <w:vertAlign w:val="superscript"/>
              </w:rPr>
              <w:t>o</w:t>
            </w:r>
            <w:r w:rsidRPr="00FE6BDE">
              <w:rPr>
                <w:rFonts w:ascii="Calibri" w:eastAsia="Calibri" w:hAnsi="Calibri" w:cs="Times New Roman"/>
                <w:sz w:val="20"/>
                <w:szCs w:val="20"/>
              </w:rPr>
              <w:t xml:space="preserve"> towards the fold axis.</w:t>
            </w:r>
          </w:p>
          <w:p w:rsidR="00D37698" w:rsidRPr="00FE6BDE" w:rsidRDefault="00D37698" w:rsidP="00D37698">
            <w:pPr>
              <w:numPr>
                <w:ilvl w:val="0"/>
                <w:numId w:val="3"/>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The manganese mineralisation is considered hydrothermal in origin, locally retaining a relic stromatolite texture and is supergene enriched within a deeply weathered profile.</w:t>
            </w:r>
          </w:p>
          <w:p w:rsidR="00D37698" w:rsidRPr="00FE6BDE" w:rsidRDefault="00D37698" w:rsidP="00D37698">
            <w:pPr>
              <w:numPr>
                <w:ilvl w:val="0"/>
                <w:numId w:val="2"/>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 xml:space="preserve">Ore widths vary from 3m to 15m and ore mineralogy consists predominately of Pyrolusite and Cryptomelane in a silica rich gangue within the supergene zone, above a Rhodochrosite and Braunite unweathered protore at depths of greater than 90 m from surface. </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Drill hole Information</w:t>
            </w:r>
          </w:p>
        </w:tc>
        <w:tc>
          <w:tcPr>
            <w:tcW w:w="6974" w:type="dxa"/>
          </w:tcPr>
          <w:p w:rsidR="00D37698" w:rsidRPr="00FE6BDE" w:rsidRDefault="00D37698" w:rsidP="00D37698">
            <w:pPr>
              <w:numPr>
                <w:ilvl w:val="0"/>
                <w:numId w:val="3"/>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 xml:space="preserve">Drill </w:t>
            </w:r>
            <w:proofErr w:type="gramStart"/>
            <w:r w:rsidRPr="00FE6BDE">
              <w:rPr>
                <w:rFonts w:ascii="Calibri" w:eastAsia="Calibri" w:hAnsi="Calibri" w:cs="Times New Roman"/>
                <w:sz w:val="20"/>
                <w:szCs w:val="20"/>
              </w:rPr>
              <w:t>hole</w:t>
            </w:r>
            <w:proofErr w:type="gramEnd"/>
            <w:r w:rsidRPr="00FE6BDE">
              <w:rPr>
                <w:rFonts w:ascii="Calibri" w:eastAsia="Calibri" w:hAnsi="Calibri" w:cs="Times New Roman"/>
                <w:sz w:val="20"/>
                <w:szCs w:val="20"/>
              </w:rPr>
              <w:t xml:space="preserve"> listings have not been included as they relate to Mineral Resources rather than exploration results.</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Data aggregation methods</w:t>
            </w:r>
          </w:p>
        </w:tc>
        <w:tc>
          <w:tcPr>
            <w:tcW w:w="6974" w:type="dxa"/>
          </w:tcPr>
          <w:p w:rsidR="00D37698" w:rsidRPr="00FE6BDE" w:rsidRDefault="00D37698" w:rsidP="00D37698">
            <w:pPr>
              <w:numPr>
                <w:ilvl w:val="0"/>
                <w:numId w:val="3"/>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Reported assays are length weighted with no top-cuts applied.</w:t>
            </w:r>
          </w:p>
          <w:p w:rsidR="00D37698" w:rsidRPr="00FE6BDE" w:rsidRDefault="00D37698" w:rsidP="00D37698">
            <w:pPr>
              <w:numPr>
                <w:ilvl w:val="0"/>
                <w:numId w:val="3"/>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Higher grade mineralised zones internal to broader zones of lower grade material are reported as included intervals.</w:t>
            </w:r>
          </w:p>
          <w:p w:rsidR="00D37698" w:rsidRPr="00FE6BDE" w:rsidRDefault="00D37698" w:rsidP="00D37698">
            <w:pPr>
              <w:numPr>
                <w:ilvl w:val="0"/>
                <w:numId w:val="3"/>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No metal equivalents are used for reporting exploration results.</w:t>
            </w:r>
          </w:p>
        </w:tc>
      </w:tr>
      <w:tr w:rsidR="00D37698" w:rsidRPr="00FE6BDE" w:rsidTr="00373CF7">
        <w:tc>
          <w:tcPr>
            <w:tcW w:w="2268" w:type="dxa"/>
          </w:tcPr>
          <w:p w:rsidR="00D37698" w:rsidRPr="00FE6BDE" w:rsidRDefault="00D37698" w:rsidP="00373CF7">
            <w:pPr>
              <w:spacing w:afterLines="20" w:after="48"/>
              <w:ind w:left="74"/>
              <w:rPr>
                <w:rFonts w:ascii="Calibri" w:eastAsia="Calibri" w:hAnsi="Calibri" w:cs="Times New Roman"/>
                <w:sz w:val="20"/>
                <w:szCs w:val="20"/>
              </w:rPr>
            </w:pPr>
            <w:r w:rsidRPr="00FE6BDE">
              <w:rPr>
                <w:rFonts w:ascii="Calibri" w:eastAsia="Calibri" w:hAnsi="Calibri" w:cs="Times New Roman"/>
                <w:sz w:val="20"/>
                <w:szCs w:val="20"/>
              </w:rPr>
              <w:t>Diagrams</w:t>
            </w:r>
          </w:p>
        </w:tc>
        <w:tc>
          <w:tcPr>
            <w:tcW w:w="6974" w:type="dxa"/>
          </w:tcPr>
          <w:p w:rsidR="00D37698" w:rsidRPr="00FE6BDE" w:rsidRDefault="00D37698" w:rsidP="00D37698">
            <w:pPr>
              <w:numPr>
                <w:ilvl w:val="0"/>
                <w:numId w:val="3"/>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These are included in the Mineral Resource statement.</w:t>
            </w:r>
          </w:p>
          <w:p w:rsidR="00D37698" w:rsidRPr="00FE6BDE" w:rsidRDefault="00D37698" w:rsidP="00D37698">
            <w:pPr>
              <w:numPr>
                <w:ilvl w:val="0"/>
                <w:numId w:val="3"/>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 xml:space="preserve">The </w:t>
            </w:r>
            <w:r w:rsidRPr="00FE6BDE">
              <w:rPr>
                <w:rFonts w:ascii="Calibri" w:eastAsia="Calibri" w:hAnsi="Calibri" w:cs="Times New Roman"/>
                <w:b/>
                <w:sz w:val="20"/>
                <w:szCs w:val="20"/>
              </w:rPr>
              <w:t>BC</w:t>
            </w:r>
            <w:r w:rsidRPr="00FE6BDE">
              <w:rPr>
                <w:rFonts w:ascii="Calibri" w:eastAsia="Calibri" w:hAnsi="Calibri" w:cs="Times New Roman"/>
                <w:sz w:val="20"/>
                <w:szCs w:val="20"/>
              </w:rPr>
              <w:t xml:space="preserve"> geology and deposit plan is shown for reference. </w:t>
            </w:r>
          </w:p>
          <w:p w:rsidR="00D37698" w:rsidRPr="00FE6BDE" w:rsidRDefault="00D37698" w:rsidP="00373CF7">
            <w:pPr>
              <w:spacing w:afterLines="20" w:after="48"/>
              <w:ind w:left="74"/>
              <w:rPr>
                <w:rFonts w:ascii="Calibri" w:eastAsia="Calibri" w:hAnsi="Calibri" w:cs="Times New Roman"/>
                <w:sz w:val="20"/>
                <w:szCs w:val="20"/>
              </w:rPr>
            </w:pPr>
            <w:r w:rsidRPr="00FE6BDE">
              <w:rPr>
                <w:rFonts w:ascii="Calibri" w:eastAsia="Calibri" w:hAnsi="Calibri" w:cs="Times New Roman"/>
                <w:noProof/>
                <w:lang w:eastAsia="en-AU"/>
              </w:rPr>
              <w:drawing>
                <wp:anchor distT="0" distB="0" distL="114300" distR="114300" simplePos="0" relativeHeight="251659264" behindDoc="0" locked="0" layoutInCell="1" allowOverlap="1" wp14:anchorId="276DF754" wp14:editId="40B60FDB">
                  <wp:simplePos x="0" y="0"/>
                  <wp:positionH relativeFrom="column">
                    <wp:posOffset>1962785</wp:posOffset>
                  </wp:positionH>
                  <wp:positionV relativeFrom="paragraph">
                    <wp:posOffset>-358140</wp:posOffset>
                  </wp:positionV>
                  <wp:extent cx="2268220" cy="1887220"/>
                  <wp:effectExtent l="0" t="0" r="0" b="0"/>
                  <wp:wrapSquare wrapText="bothSides"/>
                  <wp:docPr id="1" name="Picture 3" descr="P:\SharedDocs\4 Geology\Resource and Reserve\Dec 2011\Summary\Bootu Creek Ge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SharedDocs\4 Geology\Resource and Reserve\Dec 2011\Summary\Bootu Creek Geology.jpg"/>
                          <pic:cNvPicPr>
                            <a:picLocks noChangeAspect="1" noChangeArrowheads="1"/>
                          </pic:cNvPicPr>
                        </pic:nvPicPr>
                        <pic:blipFill>
                          <a:blip r:embed="rId6" cstate="print">
                            <a:extLst>
                              <a:ext uri="{28A0092B-C50C-407E-A947-70E740481C1C}">
                                <a14:useLocalDpi xmlns:a14="http://schemas.microsoft.com/office/drawing/2010/main" val="0"/>
                              </a:ext>
                            </a:extLst>
                          </a:blip>
                          <a:srcRect l="27941"/>
                          <a:stretch>
                            <a:fillRect/>
                          </a:stretch>
                        </pic:blipFill>
                        <pic:spPr bwMode="auto">
                          <a:xfrm>
                            <a:off x="0" y="0"/>
                            <a:ext cx="2268220" cy="188722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tc>
      </w:tr>
      <w:tr w:rsidR="00D37698" w:rsidRPr="00FE6BDE" w:rsidTr="00373CF7">
        <w:tc>
          <w:tcPr>
            <w:tcW w:w="2268" w:type="dxa"/>
          </w:tcPr>
          <w:p w:rsidR="00D37698" w:rsidRPr="00FE6BDE" w:rsidRDefault="00D37698" w:rsidP="00373CF7">
            <w:pPr>
              <w:spacing w:afterLines="20" w:after="48"/>
              <w:ind w:left="74"/>
              <w:rPr>
                <w:rFonts w:ascii="Calibri" w:eastAsia="Calibri" w:hAnsi="Calibri" w:cs="Times New Roman"/>
                <w:sz w:val="20"/>
                <w:szCs w:val="20"/>
              </w:rPr>
            </w:pPr>
            <w:r w:rsidRPr="00FE6BDE">
              <w:rPr>
                <w:rFonts w:ascii="Calibri" w:eastAsia="Calibri" w:hAnsi="Calibri" w:cs="Times New Roman"/>
                <w:sz w:val="20"/>
                <w:szCs w:val="20"/>
              </w:rPr>
              <w:t>Balanced reporting</w:t>
            </w:r>
          </w:p>
        </w:tc>
        <w:tc>
          <w:tcPr>
            <w:tcW w:w="6974" w:type="dxa"/>
          </w:tcPr>
          <w:p w:rsidR="00D37698" w:rsidRPr="00FE6BDE" w:rsidRDefault="00D37698" w:rsidP="00D37698">
            <w:pPr>
              <w:numPr>
                <w:ilvl w:val="0"/>
                <w:numId w:val="3"/>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All exploration results are reported.</w:t>
            </w:r>
          </w:p>
        </w:tc>
      </w:tr>
      <w:tr w:rsidR="00D37698" w:rsidRPr="00FE6BDE" w:rsidTr="00373CF7">
        <w:tc>
          <w:tcPr>
            <w:tcW w:w="2268" w:type="dxa"/>
          </w:tcPr>
          <w:p w:rsidR="00D37698" w:rsidRPr="00FE6BDE" w:rsidRDefault="00D37698" w:rsidP="00373CF7">
            <w:pPr>
              <w:spacing w:afterLines="20" w:after="48"/>
              <w:ind w:left="74"/>
              <w:rPr>
                <w:rFonts w:ascii="Calibri" w:eastAsia="Calibri" w:hAnsi="Calibri" w:cs="Times New Roman"/>
                <w:sz w:val="20"/>
                <w:szCs w:val="20"/>
              </w:rPr>
            </w:pPr>
            <w:r w:rsidRPr="00FE6BDE">
              <w:rPr>
                <w:rFonts w:ascii="Calibri" w:eastAsia="Calibri" w:hAnsi="Calibri" w:cs="Times New Roman"/>
                <w:sz w:val="20"/>
                <w:szCs w:val="20"/>
              </w:rPr>
              <w:t>Other substantive exploration data</w:t>
            </w:r>
          </w:p>
        </w:tc>
        <w:tc>
          <w:tcPr>
            <w:tcW w:w="6974" w:type="dxa"/>
          </w:tcPr>
          <w:p w:rsidR="00D37698" w:rsidRPr="00FE6BDE" w:rsidRDefault="00D37698" w:rsidP="00D37698">
            <w:pPr>
              <w:numPr>
                <w:ilvl w:val="0"/>
                <w:numId w:val="3"/>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Not applicable to the Mineral Resource estimates.</w:t>
            </w:r>
          </w:p>
        </w:tc>
      </w:tr>
      <w:tr w:rsidR="00D37698" w:rsidRPr="00FE6BDE" w:rsidTr="00373CF7">
        <w:tc>
          <w:tcPr>
            <w:tcW w:w="2268" w:type="dxa"/>
          </w:tcPr>
          <w:p w:rsidR="00D37698" w:rsidRPr="00FE6BDE" w:rsidRDefault="00D37698" w:rsidP="00373CF7">
            <w:pPr>
              <w:spacing w:afterLines="20" w:after="48"/>
              <w:ind w:left="74"/>
              <w:rPr>
                <w:rFonts w:ascii="Calibri" w:eastAsia="Calibri" w:hAnsi="Calibri" w:cs="Times New Roman"/>
                <w:sz w:val="20"/>
                <w:szCs w:val="20"/>
              </w:rPr>
            </w:pPr>
            <w:r w:rsidRPr="00FE6BDE">
              <w:rPr>
                <w:rFonts w:ascii="Calibri" w:eastAsia="Calibri" w:hAnsi="Calibri" w:cs="Times New Roman"/>
                <w:sz w:val="20"/>
                <w:szCs w:val="20"/>
              </w:rPr>
              <w:t>Further work</w:t>
            </w:r>
          </w:p>
        </w:tc>
        <w:tc>
          <w:tcPr>
            <w:tcW w:w="6974" w:type="dxa"/>
          </w:tcPr>
          <w:p w:rsidR="00D37698" w:rsidRPr="00FE6BDE" w:rsidRDefault="00D37698" w:rsidP="00D37698">
            <w:pPr>
              <w:numPr>
                <w:ilvl w:val="0"/>
                <w:numId w:val="3"/>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Not applicable to the Mineral Resource estimates.</w:t>
            </w:r>
          </w:p>
        </w:tc>
      </w:tr>
    </w:tbl>
    <w:p w:rsidR="00D37698" w:rsidRPr="00FE6BDE" w:rsidRDefault="00D37698" w:rsidP="00D37698">
      <w:pPr>
        <w:spacing w:after="120"/>
        <w:rPr>
          <w:rFonts w:ascii="Calibri" w:eastAsia="Calibri" w:hAnsi="Calibri" w:cs="Times New Roman"/>
          <w:b/>
          <w:sz w:val="28"/>
          <w:szCs w:val="28"/>
        </w:rPr>
      </w:pPr>
      <w:r w:rsidRPr="00FE6BDE">
        <w:rPr>
          <w:rFonts w:ascii="Calibri" w:eastAsia="Calibri" w:hAnsi="Calibri" w:cs="Times New Roman"/>
          <w:b/>
          <w:sz w:val="28"/>
          <w:szCs w:val="28"/>
        </w:rPr>
        <w:br w:type="page"/>
      </w:r>
      <w:r w:rsidRPr="00FE6BDE">
        <w:rPr>
          <w:rFonts w:ascii="Calibri" w:eastAsia="Calibri" w:hAnsi="Calibri" w:cs="Times New Roman"/>
          <w:b/>
          <w:sz w:val="28"/>
          <w:szCs w:val="28"/>
        </w:rPr>
        <w:lastRenderedPageBreak/>
        <w:t>Section 3 Estimation and Reporting of Mineral Resources</w:t>
      </w:r>
    </w:p>
    <w:tbl>
      <w:tblPr>
        <w:tblStyle w:val="TableGrid1"/>
        <w:tblW w:w="0" w:type="auto"/>
        <w:tblLook w:val="04A0" w:firstRow="1" w:lastRow="0" w:firstColumn="1" w:lastColumn="0" w:noHBand="0" w:noVBand="1"/>
      </w:tblPr>
      <w:tblGrid>
        <w:gridCol w:w="2268"/>
        <w:gridCol w:w="6974"/>
      </w:tblGrid>
      <w:tr w:rsidR="00D37698" w:rsidRPr="00FE6BDE" w:rsidTr="00373CF7">
        <w:trPr>
          <w:tblHeader/>
        </w:trPr>
        <w:tc>
          <w:tcPr>
            <w:tcW w:w="2268" w:type="dxa"/>
          </w:tcPr>
          <w:p w:rsidR="00D37698" w:rsidRPr="00FE6BDE" w:rsidRDefault="00D37698" w:rsidP="00373CF7">
            <w:pPr>
              <w:spacing w:afterLines="20" w:after="48"/>
              <w:rPr>
                <w:rFonts w:ascii="Calibri" w:eastAsia="Calibri" w:hAnsi="Calibri" w:cs="Times New Roman"/>
                <w:b/>
                <w:sz w:val="28"/>
                <w:szCs w:val="28"/>
              </w:rPr>
            </w:pPr>
            <w:r w:rsidRPr="00FE6BDE">
              <w:rPr>
                <w:rFonts w:ascii="Calibri" w:eastAsia="Calibri" w:hAnsi="Calibri" w:cs="Times New Roman"/>
                <w:b/>
                <w:sz w:val="28"/>
                <w:szCs w:val="28"/>
              </w:rPr>
              <w:t>Criteria</w:t>
            </w:r>
          </w:p>
        </w:tc>
        <w:tc>
          <w:tcPr>
            <w:tcW w:w="6974" w:type="dxa"/>
          </w:tcPr>
          <w:p w:rsidR="00D37698" w:rsidRPr="00FE6BDE" w:rsidRDefault="00D37698" w:rsidP="00373CF7">
            <w:pPr>
              <w:spacing w:afterLines="20" w:after="48"/>
              <w:rPr>
                <w:rFonts w:ascii="Calibri" w:eastAsia="Calibri" w:hAnsi="Calibri" w:cs="Times New Roman"/>
                <w:b/>
                <w:sz w:val="28"/>
                <w:szCs w:val="28"/>
              </w:rPr>
            </w:pPr>
            <w:r w:rsidRPr="00FE6BDE">
              <w:rPr>
                <w:rFonts w:ascii="Calibri" w:eastAsia="Calibri" w:hAnsi="Calibri" w:cs="Times New Roman"/>
                <w:b/>
                <w:sz w:val="28"/>
                <w:szCs w:val="28"/>
              </w:rPr>
              <w:t>Explanation</w:t>
            </w:r>
          </w:p>
        </w:tc>
      </w:tr>
      <w:tr w:rsidR="00D37698" w:rsidRPr="00FE6BDE" w:rsidTr="00373CF7">
        <w:tc>
          <w:tcPr>
            <w:tcW w:w="2268" w:type="dxa"/>
          </w:tcPr>
          <w:p w:rsidR="00D37698" w:rsidRPr="00FE6BDE" w:rsidRDefault="00D37698" w:rsidP="00373CF7">
            <w:pPr>
              <w:spacing w:afterLines="20" w:after="48"/>
              <w:ind w:right="-108"/>
              <w:rPr>
                <w:rFonts w:ascii="Calibri" w:eastAsia="Calibri" w:hAnsi="Calibri" w:cs="Times New Roman"/>
                <w:sz w:val="20"/>
                <w:szCs w:val="20"/>
              </w:rPr>
            </w:pPr>
            <w:r w:rsidRPr="00FE6BDE">
              <w:rPr>
                <w:rFonts w:ascii="Calibri" w:eastAsia="Calibri" w:hAnsi="Calibri" w:cs="Times New Roman"/>
                <w:sz w:val="20"/>
                <w:szCs w:val="20"/>
              </w:rPr>
              <w:t>Database integrity</w:t>
            </w:r>
          </w:p>
        </w:tc>
        <w:tc>
          <w:tcPr>
            <w:tcW w:w="6974" w:type="dxa"/>
          </w:tcPr>
          <w:p w:rsidR="00D37698" w:rsidRPr="00FE6BDE" w:rsidRDefault="00D37698" w:rsidP="00D37698">
            <w:pPr>
              <w:numPr>
                <w:ilvl w:val="0"/>
                <w:numId w:val="5"/>
              </w:numPr>
              <w:spacing w:afterLines="20" w:after="48"/>
              <w:ind w:left="284" w:hanging="186"/>
              <w:contextualSpacing/>
              <w:rPr>
                <w:rFonts w:ascii="Calibri" w:eastAsia="Calibri" w:hAnsi="Calibri" w:cs="Times New Roman"/>
                <w:sz w:val="20"/>
                <w:szCs w:val="20"/>
              </w:rPr>
            </w:pPr>
            <w:r w:rsidRPr="00FE6BDE">
              <w:rPr>
                <w:rFonts w:ascii="Calibri" w:eastAsia="Calibri" w:hAnsi="Calibri" w:cs="Times New Roman"/>
                <w:sz w:val="20"/>
                <w:szCs w:val="20"/>
              </w:rPr>
              <w:t xml:space="preserve">All geology data was captured using Field Marshall software and imported into a </w:t>
            </w:r>
            <w:proofErr w:type="spellStart"/>
            <w:r w:rsidRPr="00FE6BDE">
              <w:rPr>
                <w:rFonts w:ascii="Calibri" w:eastAsia="Calibri" w:hAnsi="Calibri" w:cs="Times New Roman"/>
                <w:sz w:val="20"/>
                <w:szCs w:val="20"/>
              </w:rPr>
              <w:t>Geobank</w:t>
            </w:r>
            <w:proofErr w:type="spellEnd"/>
            <w:r w:rsidRPr="00FE6BDE">
              <w:rPr>
                <w:rFonts w:ascii="Calibri" w:eastAsia="Calibri" w:hAnsi="Calibri" w:cs="Times New Roman"/>
                <w:sz w:val="20"/>
                <w:szCs w:val="20"/>
              </w:rPr>
              <w:t xml:space="preserve"> SQL database (both </w:t>
            </w:r>
            <w:proofErr w:type="spellStart"/>
            <w:r w:rsidRPr="00FE6BDE">
              <w:rPr>
                <w:rFonts w:ascii="Calibri" w:eastAsia="Calibri" w:hAnsi="Calibri" w:cs="Times New Roman"/>
                <w:sz w:val="20"/>
                <w:szCs w:val="20"/>
              </w:rPr>
              <w:t>Micromine</w:t>
            </w:r>
            <w:proofErr w:type="spellEnd"/>
            <w:r w:rsidRPr="00FE6BDE">
              <w:rPr>
                <w:rFonts w:ascii="Calibri" w:eastAsia="Calibri" w:hAnsi="Calibri" w:cs="Times New Roman"/>
                <w:sz w:val="20"/>
                <w:szCs w:val="20"/>
              </w:rPr>
              <w:t xml:space="preserve"> data management software). Location data was imported from DGPS export files. Assay data was imported from the original laboratory issued csv/</w:t>
            </w:r>
            <w:proofErr w:type="spellStart"/>
            <w:r w:rsidRPr="00FE6BDE">
              <w:rPr>
                <w:rFonts w:ascii="Calibri" w:eastAsia="Calibri" w:hAnsi="Calibri" w:cs="Times New Roman"/>
                <w:sz w:val="20"/>
                <w:szCs w:val="20"/>
              </w:rPr>
              <w:t>sif</w:t>
            </w:r>
            <w:proofErr w:type="spellEnd"/>
            <w:r w:rsidRPr="00FE6BDE">
              <w:rPr>
                <w:rFonts w:ascii="Calibri" w:eastAsia="Calibri" w:hAnsi="Calibri" w:cs="Times New Roman"/>
                <w:sz w:val="20"/>
                <w:szCs w:val="20"/>
              </w:rPr>
              <w:t xml:space="preserve"> files.</w:t>
            </w:r>
          </w:p>
          <w:p w:rsidR="00D37698" w:rsidRPr="00FE6BDE" w:rsidRDefault="00D37698" w:rsidP="00D37698">
            <w:pPr>
              <w:numPr>
                <w:ilvl w:val="0"/>
                <w:numId w:val="5"/>
              </w:numPr>
              <w:spacing w:afterLines="20" w:after="48"/>
              <w:ind w:left="283" w:hanging="187"/>
              <w:contextualSpacing/>
              <w:rPr>
                <w:rFonts w:ascii="Calibri" w:eastAsia="Calibri" w:hAnsi="Calibri" w:cs="Times New Roman"/>
                <w:sz w:val="20"/>
                <w:szCs w:val="20"/>
              </w:rPr>
            </w:pPr>
            <w:r w:rsidRPr="00FE6BDE">
              <w:rPr>
                <w:rFonts w:ascii="Calibri" w:eastAsia="Calibri" w:hAnsi="Calibri" w:cs="Times New Roman"/>
                <w:sz w:val="20"/>
                <w:szCs w:val="20"/>
              </w:rPr>
              <w:t xml:space="preserve">Geology logs are validated for errors on import, locations are checked visually and assay data quality is ensured by the use of lab and field standards. Further internal validation for duplication, overlaps, </w:t>
            </w:r>
            <w:proofErr w:type="spellStart"/>
            <w:r w:rsidRPr="00FE6BDE">
              <w:rPr>
                <w:rFonts w:ascii="Calibri" w:eastAsia="Calibri" w:hAnsi="Calibri" w:cs="Times New Roman"/>
                <w:sz w:val="20"/>
                <w:szCs w:val="20"/>
              </w:rPr>
              <w:t>etc</w:t>
            </w:r>
            <w:proofErr w:type="spellEnd"/>
            <w:r w:rsidRPr="00FE6BDE">
              <w:rPr>
                <w:rFonts w:ascii="Calibri" w:eastAsia="Calibri" w:hAnsi="Calibri" w:cs="Times New Roman"/>
                <w:sz w:val="20"/>
                <w:szCs w:val="20"/>
              </w:rPr>
              <w:t xml:space="preserve"> is carried out using </w:t>
            </w:r>
            <w:proofErr w:type="spellStart"/>
            <w:r w:rsidRPr="00FE6BDE">
              <w:rPr>
                <w:rFonts w:ascii="Calibri" w:eastAsia="Calibri" w:hAnsi="Calibri" w:cs="Times New Roman"/>
                <w:sz w:val="20"/>
                <w:szCs w:val="20"/>
              </w:rPr>
              <w:t>Surpac</w:t>
            </w:r>
            <w:proofErr w:type="spellEnd"/>
            <w:r w:rsidRPr="00FE6BDE">
              <w:rPr>
                <w:rFonts w:ascii="Calibri" w:eastAsia="Calibri" w:hAnsi="Calibri" w:cs="Times New Roman"/>
                <w:sz w:val="20"/>
                <w:szCs w:val="20"/>
              </w:rPr>
              <w:t xml:space="preserve"> prior to any resource estimate.</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 xml:space="preserve">Site visits   </w:t>
            </w:r>
          </w:p>
        </w:tc>
        <w:tc>
          <w:tcPr>
            <w:tcW w:w="6974" w:type="dxa"/>
          </w:tcPr>
          <w:p w:rsidR="00D37698" w:rsidRPr="00FE6BDE" w:rsidRDefault="00D37698" w:rsidP="00D37698">
            <w:pPr>
              <w:numPr>
                <w:ilvl w:val="0"/>
                <w:numId w:val="2"/>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The Mineral Resource is located within an active mine camp and is visited regularly by OMM Competent Persons.</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Geological Interpretation</w:t>
            </w:r>
          </w:p>
        </w:tc>
        <w:tc>
          <w:tcPr>
            <w:tcW w:w="6974" w:type="dxa"/>
          </w:tcPr>
          <w:p w:rsidR="00D37698" w:rsidRPr="00FE6BDE" w:rsidRDefault="00D37698" w:rsidP="00D37698">
            <w:pPr>
              <w:numPr>
                <w:ilvl w:val="0"/>
                <w:numId w:val="3"/>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There is a high degree of confidence in the geological interpretation of the Bootu Creek manganese deposits gained through extensive close spaced drill testing, a relatively planar strata-bound geological setting and several years of active mining at this mature mining operation.</w:t>
            </w:r>
          </w:p>
          <w:p w:rsidR="00D37698" w:rsidRPr="00FE6BDE" w:rsidRDefault="00D37698" w:rsidP="00D37698">
            <w:pPr>
              <w:numPr>
                <w:ilvl w:val="0"/>
                <w:numId w:val="3"/>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Ore mineralogy was determined by XRD analysis and optical petrology on selected drill core, RC chip and mineral product (gravity concentrate) samples.</w:t>
            </w:r>
          </w:p>
          <w:p w:rsidR="00D37698" w:rsidRPr="00FE6BDE" w:rsidRDefault="00D37698" w:rsidP="00D37698">
            <w:pPr>
              <w:numPr>
                <w:ilvl w:val="0"/>
                <w:numId w:val="3"/>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The geological controls at </w:t>
            </w:r>
            <w:r w:rsidRPr="00FE6BDE">
              <w:rPr>
                <w:rFonts w:ascii="Calibri" w:eastAsia="Calibri" w:hAnsi="Calibri" w:cs="Times New Roman"/>
                <w:b/>
                <w:sz w:val="20"/>
                <w:szCs w:val="20"/>
              </w:rPr>
              <w:t>BC</w:t>
            </w:r>
            <w:r w:rsidRPr="00FE6BDE">
              <w:rPr>
                <w:rFonts w:ascii="Calibri" w:eastAsia="Calibri" w:hAnsi="Calibri" w:cs="Times New Roman"/>
                <w:sz w:val="20"/>
                <w:szCs w:val="20"/>
              </w:rPr>
              <w:t xml:space="preserve"> are well understood from ongoing mining activity and form the basis for the resource interpretations.</w:t>
            </w:r>
          </w:p>
          <w:p w:rsidR="00D37698" w:rsidRPr="00FE6BDE" w:rsidRDefault="00D37698" w:rsidP="00D37698">
            <w:pPr>
              <w:numPr>
                <w:ilvl w:val="0"/>
                <w:numId w:val="3"/>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Factors affecting continuity of grade and geology include local high and low angle faulting, local internal and adjacent high Fe concentration, and the intensity and depth of supergene alteration from weathering. </w:t>
            </w:r>
          </w:p>
          <w:p w:rsidR="00D37698" w:rsidRPr="00FE6BDE" w:rsidRDefault="00D37698" w:rsidP="00D37698">
            <w:pPr>
              <w:numPr>
                <w:ilvl w:val="0"/>
                <w:numId w:val="3"/>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The geological interpretation is refined on an ongoing basis following the review of close spaced grade control sampling and in pit observation and mapping of second order fault structures not modelled in the original broader spaced resource delineation drilling.   </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Dimensions</w:t>
            </w:r>
          </w:p>
        </w:tc>
        <w:tc>
          <w:tcPr>
            <w:tcW w:w="6974" w:type="dxa"/>
          </w:tcPr>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The Bootu Creek manganese resource models have a combined strike length of 16km, with individual models ranging from 0.7km to 2.9km</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Bootu Creek resource models are generally limited in vertical depth by economic constraints (imposed by strip ratios and cost of mining) or by faulting, rather than depth termination of the mineralisation.  Individual model depth extents range from 50m to 100m below surface. All mining is by open pit.</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Bootu Creek resource model widths (true width) range from the minimum width of 3m to a maximum of around 15m.  </w:t>
            </w:r>
          </w:p>
          <w:p w:rsidR="00D37698" w:rsidRPr="00FE6BDE" w:rsidRDefault="00D37698" w:rsidP="00D37698">
            <w:pPr>
              <w:numPr>
                <w:ilvl w:val="0"/>
                <w:numId w:val="4"/>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The Renner West manganese deposit extends over a strike length of 450m and to a depth of around 25m below surface.</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Estimation and modelling techniques</w:t>
            </w:r>
          </w:p>
        </w:tc>
        <w:tc>
          <w:tcPr>
            <w:tcW w:w="6974" w:type="dxa"/>
          </w:tcPr>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Estimation and modelling was previously undertaken by independent resource consultants Optiro Pty Ltd, and has since been updated by OMM technical staff.</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Resource models are digitised and wire-framed from interpreted geological and assay drill cross sections prepared by OMM.   These wireframes are used to select resource intersections and composite data is extracted for Mn, Fe, SiO</w:t>
            </w:r>
            <w:r w:rsidRPr="00FE6BDE">
              <w:rPr>
                <w:rFonts w:ascii="Calibri" w:eastAsia="Calibri" w:hAnsi="Calibri" w:cs="Times New Roman"/>
                <w:sz w:val="20"/>
                <w:szCs w:val="20"/>
                <w:vertAlign w:val="subscript"/>
              </w:rPr>
              <w:t>2</w:t>
            </w:r>
            <w:r w:rsidRPr="00FE6BDE">
              <w:rPr>
                <w:rFonts w:ascii="Calibri" w:eastAsia="Calibri" w:hAnsi="Calibri" w:cs="Times New Roman"/>
                <w:sz w:val="20"/>
                <w:szCs w:val="20"/>
              </w:rPr>
              <w:t>, Al</w:t>
            </w:r>
            <w:r w:rsidRPr="00FE6BDE">
              <w:rPr>
                <w:rFonts w:ascii="Calibri" w:eastAsia="Calibri" w:hAnsi="Calibri" w:cs="Times New Roman"/>
                <w:sz w:val="20"/>
                <w:szCs w:val="20"/>
                <w:vertAlign w:val="subscript"/>
              </w:rPr>
              <w:t>2</w:t>
            </w:r>
            <w:r w:rsidRPr="00FE6BDE">
              <w:rPr>
                <w:rFonts w:ascii="Calibri" w:eastAsia="Calibri" w:hAnsi="Calibri" w:cs="Times New Roman"/>
                <w:sz w:val="20"/>
                <w:szCs w:val="20"/>
              </w:rPr>
              <w:t>O</w:t>
            </w:r>
            <w:r w:rsidRPr="00FE6BDE">
              <w:rPr>
                <w:rFonts w:ascii="Calibri" w:eastAsia="Calibri" w:hAnsi="Calibri" w:cs="Times New Roman"/>
                <w:sz w:val="20"/>
                <w:szCs w:val="20"/>
                <w:vertAlign w:val="subscript"/>
              </w:rPr>
              <w:t>3</w:t>
            </w:r>
            <w:r w:rsidRPr="00FE6BDE">
              <w:rPr>
                <w:rFonts w:ascii="Calibri" w:eastAsia="Calibri" w:hAnsi="Calibri" w:cs="Times New Roman"/>
                <w:sz w:val="20"/>
                <w:szCs w:val="20"/>
              </w:rPr>
              <w:t xml:space="preserve">, BaO and P based on one metre sample increments. </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‘Supervisor’ </w:t>
            </w:r>
            <w:proofErr w:type="spellStart"/>
            <w:r w:rsidRPr="00FE6BDE">
              <w:rPr>
                <w:rFonts w:ascii="Calibri" w:eastAsia="Calibri" w:hAnsi="Calibri" w:cs="Times New Roman"/>
                <w:sz w:val="20"/>
                <w:szCs w:val="20"/>
              </w:rPr>
              <w:t>geostatistical</w:t>
            </w:r>
            <w:proofErr w:type="spellEnd"/>
            <w:r w:rsidRPr="00FE6BDE">
              <w:rPr>
                <w:rFonts w:ascii="Calibri" w:eastAsia="Calibri" w:hAnsi="Calibri" w:cs="Times New Roman"/>
                <w:sz w:val="20"/>
                <w:szCs w:val="20"/>
              </w:rPr>
              <w:t xml:space="preserve"> software was used for continuity analysis to determine </w:t>
            </w:r>
            <w:proofErr w:type="spellStart"/>
            <w:r w:rsidRPr="00FE6BDE">
              <w:rPr>
                <w:rFonts w:ascii="Calibri" w:eastAsia="Calibri" w:hAnsi="Calibri" w:cs="Times New Roman"/>
                <w:sz w:val="20"/>
                <w:szCs w:val="20"/>
              </w:rPr>
              <w:t>variograms</w:t>
            </w:r>
            <w:proofErr w:type="spellEnd"/>
            <w:r w:rsidRPr="00FE6BDE">
              <w:rPr>
                <w:rFonts w:ascii="Calibri" w:eastAsia="Calibri" w:hAnsi="Calibri" w:cs="Times New Roman"/>
                <w:sz w:val="20"/>
                <w:szCs w:val="20"/>
              </w:rPr>
              <w:t xml:space="preserve"> for grade estimation.  Optiro found that the 10% Mn population generated more robust </w:t>
            </w:r>
            <w:proofErr w:type="spellStart"/>
            <w:r w:rsidRPr="00FE6BDE">
              <w:rPr>
                <w:rFonts w:ascii="Calibri" w:eastAsia="Calibri" w:hAnsi="Calibri" w:cs="Times New Roman"/>
                <w:sz w:val="20"/>
                <w:szCs w:val="20"/>
              </w:rPr>
              <w:t>variograms</w:t>
            </w:r>
            <w:proofErr w:type="spellEnd"/>
            <w:r w:rsidRPr="00FE6BDE">
              <w:rPr>
                <w:rFonts w:ascii="Calibri" w:eastAsia="Calibri" w:hAnsi="Calibri" w:cs="Times New Roman"/>
                <w:sz w:val="20"/>
                <w:szCs w:val="20"/>
              </w:rPr>
              <w:t xml:space="preserve"> with lower nugget effects that were applied to the resource composite data during estimation. </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The nugget effect from </w:t>
            </w:r>
            <w:proofErr w:type="spellStart"/>
            <w:r w:rsidRPr="00FE6BDE">
              <w:rPr>
                <w:rFonts w:ascii="Calibri" w:eastAsia="Calibri" w:hAnsi="Calibri" w:cs="Times New Roman"/>
                <w:sz w:val="20"/>
                <w:szCs w:val="20"/>
              </w:rPr>
              <w:t>variography</w:t>
            </w:r>
            <w:proofErr w:type="spellEnd"/>
            <w:r w:rsidRPr="00FE6BDE">
              <w:rPr>
                <w:rFonts w:ascii="Calibri" w:eastAsia="Calibri" w:hAnsi="Calibri" w:cs="Times New Roman"/>
                <w:sz w:val="20"/>
                <w:szCs w:val="20"/>
              </w:rPr>
              <w:t xml:space="preserve"> was found to represent only 20-30% of the total variability, suggesting a low inherent random behaviour for the manganese mineralisation and no grade capping is warranted.</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Block models are estimated using Ordinary </w:t>
            </w:r>
            <w:proofErr w:type="spellStart"/>
            <w:r w:rsidRPr="00FE6BDE">
              <w:rPr>
                <w:rFonts w:ascii="Calibri" w:eastAsia="Calibri" w:hAnsi="Calibri" w:cs="Times New Roman"/>
                <w:sz w:val="20"/>
                <w:szCs w:val="20"/>
              </w:rPr>
              <w:t>Kriging</w:t>
            </w:r>
            <w:proofErr w:type="spellEnd"/>
            <w:r w:rsidRPr="00FE6BDE">
              <w:rPr>
                <w:rFonts w:ascii="Calibri" w:eastAsia="Calibri" w:hAnsi="Calibri" w:cs="Times New Roman"/>
                <w:sz w:val="20"/>
                <w:szCs w:val="20"/>
              </w:rPr>
              <w:t xml:space="preserve"> (OK), using </w:t>
            </w:r>
            <w:proofErr w:type="spellStart"/>
            <w:r w:rsidRPr="00FE6BDE">
              <w:rPr>
                <w:rFonts w:ascii="Calibri" w:eastAsia="Calibri" w:hAnsi="Calibri" w:cs="Times New Roman"/>
                <w:sz w:val="20"/>
                <w:szCs w:val="20"/>
              </w:rPr>
              <w:t>Surpac</w:t>
            </w:r>
            <w:proofErr w:type="spellEnd"/>
            <w:r w:rsidRPr="00FE6BDE">
              <w:rPr>
                <w:rFonts w:ascii="Calibri" w:eastAsia="Calibri" w:hAnsi="Calibri" w:cs="Times New Roman"/>
                <w:sz w:val="20"/>
                <w:szCs w:val="20"/>
              </w:rPr>
              <w:t xml:space="preserve"> resource estimation software, and coded with attributes for material type, resource classification, model domain and for OMM survey pit pickups.</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Block Model Parent Cells are 25m (Y) by 10m (X) by 5m (Z) and compare </w:t>
            </w:r>
            <w:r w:rsidRPr="00FE6BDE">
              <w:rPr>
                <w:rFonts w:ascii="Calibri" w:eastAsia="Calibri" w:hAnsi="Calibri" w:cs="Times New Roman"/>
                <w:sz w:val="20"/>
                <w:szCs w:val="20"/>
              </w:rPr>
              <w:lastRenderedPageBreak/>
              <w:t>favourably with maximum drill spacing of 50m x 25m or 40m x 20m and with along strike search radius varying from 130m in the shorter or faulted models through to 290m for the highly continuous Chugga-Gogo.</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The number of samples is set at a minimum of 15 and a maximum of 32 for passes 1 &amp; 2.  The pass 3 minimum was set to 2 samples to fill model extents. </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Search ranges varied from 130 m up to 290 m in deposits of up to 2.9 km strike length.  The search ellipsoids are flattened disc shapes in the plane of the mineralisation with varying anisotropic ratios designed to model shallowly plunging manganese trends within the domains.  </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Geological interpretation prepared by OMM has been used to construct digital wireframes and control assay extraction from the database, but are not otherwise used to control the resource estimate.</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The only assumed correlation between variables is that used for the density regression calculated against manganese grade.  There is a noted inverse relationship between manganese vs silica and Al</w:t>
            </w:r>
            <w:r w:rsidRPr="00FE6BDE">
              <w:rPr>
                <w:rFonts w:ascii="Calibri" w:eastAsia="Calibri" w:hAnsi="Calibri" w:cs="Times New Roman"/>
                <w:sz w:val="20"/>
                <w:szCs w:val="20"/>
                <w:vertAlign w:val="subscript"/>
              </w:rPr>
              <w:t>2</w:t>
            </w:r>
            <w:r w:rsidRPr="00FE6BDE">
              <w:rPr>
                <w:rFonts w:ascii="Calibri" w:eastAsia="Calibri" w:hAnsi="Calibri" w:cs="Times New Roman"/>
                <w:sz w:val="20"/>
                <w:szCs w:val="20"/>
              </w:rPr>
              <w:t>O</w:t>
            </w:r>
            <w:r w:rsidRPr="00FE6BDE">
              <w:rPr>
                <w:rFonts w:ascii="Calibri" w:eastAsia="Calibri" w:hAnsi="Calibri" w:cs="Times New Roman"/>
                <w:sz w:val="20"/>
                <w:szCs w:val="20"/>
                <w:vertAlign w:val="subscript"/>
              </w:rPr>
              <w:t>3</w:t>
            </w:r>
            <w:r w:rsidRPr="00FE6BDE">
              <w:rPr>
                <w:rFonts w:ascii="Calibri" w:eastAsia="Calibri" w:hAnsi="Calibri" w:cs="Times New Roman"/>
                <w:sz w:val="20"/>
                <w:szCs w:val="20"/>
              </w:rPr>
              <w:t>.  There is very little relationship between manganese and iron and correlations between other elements were poor.</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No selective mining units were assumed in the estimates.</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Graphical 3D validation of block grades versus composite samples, used to compare modelled grade trends against the spatial distribution of the samples, demonstrated that estimated low and high grades were consistent with the composite samples. Density was also checked to confirm interpolated block values honour the regression formulas.</w:t>
            </w:r>
          </w:p>
          <w:p w:rsidR="00D37698" w:rsidRPr="00FE6BDE" w:rsidRDefault="00D37698" w:rsidP="00D37698">
            <w:pPr>
              <w:numPr>
                <w:ilvl w:val="0"/>
                <w:numId w:val="4"/>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 xml:space="preserve">Validation swathe plots by Optiro show that the block model estimated grades honoured local grades. All volumetric checks are within 1% of wireframes. </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The significant elements specific to product quality are assayed and modelled with the only potential issue being high Fe content in product, which is managed in the mine plan.</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Mineral Resource estimates are depleted for mining up to 31 December 2014 and reported above a cut-off grade of 15% Mn.</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lastRenderedPageBreak/>
              <w:t>Moisture</w:t>
            </w:r>
          </w:p>
        </w:tc>
        <w:tc>
          <w:tcPr>
            <w:tcW w:w="6974" w:type="dxa"/>
          </w:tcPr>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All tonnage is estimated on a dry tonnes basis.</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Cut-off parameters</w:t>
            </w:r>
          </w:p>
        </w:tc>
        <w:tc>
          <w:tcPr>
            <w:tcW w:w="6974" w:type="dxa"/>
          </w:tcPr>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The current 15% Mn cut-off grade has been affirmed after several years of processing Bootu Creek ore. Manganese product derived from the DMS (gravity) plant is not linear in relation to head grade and product yield and/or product grade decreases rapidly below the current cut-off grade.</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Mining factors or assumptions</w:t>
            </w:r>
          </w:p>
        </w:tc>
        <w:tc>
          <w:tcPr>
            <w:tcW w:w="6974" w:type="dxa"/>
          </w:tcPr>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The Mineral Resource estimates were optimised by OMM technical staff utilising Whittle mining software to limit economic open pit extents based on long term revenue, mining, processing and logistic parameters set by OMM.</w:t>
            </w:r>
          </w:p>
          <w:p w:rsidR="00D37698" w:rsidRPr="00FE6BDE" w:rsidRDefault="00D37698" w:rsidP="00D37698">
            <w:pPr>
              <w:numPr>
                <w:ilvl w:val="0"/>
                <w:numId w:val="6"/>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All mining is, or is proposed, by open pit mining methods.</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Parameters for determining economic extraction are based on data derived from the current mining and processing operations at Bootu Creek.</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Metallurgical factors and assumptions</w:t>
            </w:r>
          </w:p>
        </w:tc>
        <w:tc>
          <w:tcPr>
            <w:tcW w:w="6974" w:type="dxa"/>
          </w:tcPr>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Metallurgical assumptions are based on test work conducted on 93 composites selected from 79 diamond holes drilled into all deposits included in Ore Reserves.  The test work consists largely of individual particle pyknometry (IPP) on lump ore and Heavy Liquid Separation (HLS) test work on fines.</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Plant reconciliation factors are also reviewed annually and factors including product yield regressions and recovery are updated annually.   </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Environmental factors or assumptions</w:t>
            </w:r>
          </w:p>
        </w:tc>
        <w:tc>
          <w:tcPr>
            <w:tcW w:w="6974" w:type="dxa"/>
          </w:tcPr>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Bootu Creek in an operating mine site and processing plant with Mine Management Plans submitted and approved for waste rock and tailings storage by the Northern Territory Department of Mines and Energy. </w:t>
            </w:r>
          </w:p>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No significant sulphides are present in ore or mine waste. </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Bulk Density</w:t>
            </w:r>
          </w:p>
        </w:tc>
        <w:tc>
          <w:tcPr>
            <w:tcW w:w="6974" w:type="dxa"/>
          </w:tcPr>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Current bulk density regression formulae are based on 366 waxed (or waxed equivalent) HQ3 core samples selected from 52 metallurgical composites distributed through all deposits included in the Ore Reserve.</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lastRenderedPageBreak/>
              <w:t xml:space="preserve">The bulk density measurements were determined in 2009 by </w:t>
            </w:r>
            <w:proofErr w:type="spellStart"/>
            <w:r w:rsidRPr="00FE6BDE">
              <w:rPr>
                <w:rFonts w:ascii="Calibri" w:eastAsia="Calibri" w:hAnsi="Calibri" w:cs="Times New Roman"/>
                <w:sz w:val="20"/>
                <w:szCs w:val="20"/>
              </w:rPr>
              <w:t>Amdel</w:t>
            </w:r>
            <w:proofErr w:type="spellEnd"/>
            <w:r w:rsidRPr="00FE6BDE">
              <w:rPr>
                <w:rFonts w:ascii="Calibri" w:eastAsia="Calibri" w:hAnsi="Calibri" w:cs="Times New Roman"/>
                <w:sz w:val="20"/>
                <w:szCs w:val="20"/>
              </w:rPr>
              <w:t xml:space="preserve"> (Perth) using the wet and dry methodology.  Six individual density regressions were determined for Chugga/Gogo, Shekuma, Xhosa, Masai/Tourag, Yaka and Zulu deposits.</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Bulk density regressions for Foldnose and Zulu South deposits (not in Ore Reserve) are assumed as for Yaka, the nearest equivalent. Renner West uses the Yaka (most conservative) regression option. </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lastRenderedPageBreak/>
              <w:t>Classification</w:t>
            </w:r>
          </w:p>
        </w:tc>
        <w:tc>
          <w:tcPr>
            <w:tcW w:w="6974" w:type="dxa"/>
          </w:tcPr>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Measured Mineral Resource – this classification is restricted to well drilled resource blocks located within 15m (vertical) of a mined pit floor, reflecting a high level of geological and grade confidence.</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Indicated Mineral Resource – classified based on established grade and geological continuity defined by the tabular nature of the Bootu Creek mineralised zones, the regular drill spacing of 50m x 25m or better, estimation parameters such as </w:t>
            </w:r>
            <w:proofErr w:type="spellStart"/>
            <w:r w:rsidRPr="00FE6BDE">
              <w:rPr>
                <w:rFonts w:ascii="Calibri" w:eastAsia="Calibri" w:hAnsi="Calibri" w:cs="Times New Roman"/>
                <w:sz w:val="20"/>
                <w:szCs w:val="20"/>
              </w:rPr>
              <w:t>kriging</w:t>
            </w:r>
            <w:proofErr w:type="spellEnd"/>
            <w:r w:rsidRPr="00FE6BDE">
              <w:rPr>
                <w:rFonts w:ascii="Calibri" w:eastAsia="Calibri" w:hAnsi="Calibri" w:cs="Times New Roman"/>
                <w:sz w:val="20"/>
                <w:szCs w:val="20"/>
              </w:rPr>
              <w:t xml:space="preserve"> efficiency and the demonstrated mining history in most of the deposits .</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Inferred Mineral Resource </w:t>
            </w:r>
            <w:r>
              <w:rPr>
                <w:rFonts w:ascii="Calibri" w:eastAsia="Calibri" w:hAnsi="Calibri" w:cs="Times New Roman"/>
                <w:sz w:val="20"/>
                <w:szCs w:val="20"/>
              </w:rPr>
              <w:t>–</w:t>
            </w:r>
            <w:r w:rsidRPr="00FE6BDE">
              <w:rPr>
                <w:rFonts w:ascii="Calibri" w:eastAsia="Calibri" w:hAnsi="Calibri" w:cs="Times New Roman"/>
                <w:sz w:val="20"/>
                <w:szCs w:val="20"/>
              </w:rPr>
              <w:t xml:space="preserve"> </w:t>
            </w:r>
            <w:r>
              <w:rPr>
                <w:rFonts w:ascii="Calibri" w:eastAsia="Calibri" w:hAnsi="Calibri" w:cs="Times New Roman"/>
                <w:sz w:val="20"/>
                <w:szCs w:val="20"/>
              </w:rPr>
              <w:t xml:space="preserve">used for the </w:t>
            </w:r>
            <w:r w:rsidRPr="00FE6BDE">
              <w:rPr>
                <w:rFonts w:ascii="Calibri" w:eastAsia="Calibri" w:hAnsi="Calibri" w:cs="Times New Roman"/>
                <w:sz w:val="20"/>
                <w:szCs w:val="20"/>
              </w:rPr>
              <w:t xml:space="preserve">lower confidence </w:t>
            </w:r>
            <w:r>
              <w:rPr>
                <w:rFonts w:ascii="Calibri" w:eastAsia="Calibri" w:hAnsi="Calibri" w:cs="Times New Roman"/>
                <w:sz w:val="20"/>
                <w:szCs w:val="20"/>
              </w:rPr>
              <w:t xml:space="preserve">Renner West </w:t>
            </w:r>
            <w:r w:rsidRPr="00FE6BDE">
              <w:rPr>
                <w:rFonts w:ascii="Calibri" w:eastAsia="Calibri" w:hAnsi="Calibri" w:cs="Times New Roman"/>
                <w:sz w:val="20"/>
                <w:szCs w:val="20"/>
              </w:rPr>
              <w:t>de</w:t>
            </w:r>
            <w:r>
              <w:rPr>
                <w:rFonts w:ascii="Calibri" w:eastAsia="Calibri" w:hAnsi="Calibri" w:cs="Times New Roman"/>
                <w:sz w:val="20"/>
                <w:szCs w:val="20"/>
              </w:rPr>
              <w:t>posit model</w:t>
            </w:r>
            <w:r w:rsidRPr="00FE6BDE">
              <w:rPr>
                <w:rFonts w:ascii="Calibri" w:eastAsia="Calibri" w:hAnsi="Calibri" w:cs="Times New Roman"/>
                <w:sz w:val="20"/>
                <w:szCs w:val="20"/>
              </w:rPr>
              <w:t>.</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The Mineral Resource estimate appropriately reflects the view of the Competent Persons. </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All OMM Mineral Resources are economically constrained on an annual basis by optimised pit shells using updated OMM cost, revenue and physical parameters (see Mining Factors and Assumptions).</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 xml:space="preserve">  Audits and reviews</w:t>
            </w:r>
          </w:p>
        </w:tc>
        <w:tc>
          <w:tcPr>
            <w:tcW w:w="6974" w:type="dxa"/>
          </w:tcPr>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Independent resource consultant Optiro Pty Ltd conducted a Client Review of wireframes, block models, classification criteria, volumetric comparison, composite versus block model grades and XYZ plots on the previous Mineral Resource estimation for 31 December 2013.</w:t>
            </w:r>
          </w:p>
          <w:p w:rsidR="00D37698" w:rsidRPr="00FE6BDE" w:rsidRDefault="00D37698" w:rsidP="00D37698">
            <w:pPr>
              <w:numPr>
                <w:ilvl w:val="0"/>
                <w:numId w:val="5"/>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No new resource delineation drilling has been added since that Mineral Resource estimation and the only changes applied in the current Mineral Resource estimation process are to account for updated pit optimisation parameters, 2014 mine depletion and/or pit backfill and to update geological interpretation based on minor faults observed during 2014 mining activity.</w:t>
            </w:r>
          </w:p>
        </w:tc>
      </w:tr>
      <w:tr w:rsidR="00D37698" w:rsidRPr="00FE6BDE" w:rsidTr="00373CF7">
        <w:tc>
          <w:tcPr>
            <w:tcW w:w="2268" w:type="dxa"/>
          </w:tcPr>
          <w:p w:rsidR="00D37698" w:rsidRPr="00FE6BDE" w:rsidRDefault="00D37698" w:rsidP="00373CF7">
            <w:pPr>
              <w:spacing w:afterLines="20" w:after="48"/>
              <w:rPr>
                <w:rFonts w:ascii="Calibri" w:eastAsia="Calibri" w:hAnsi="Calibri" w:cs="Times New Roman"/>
                <w:sz w:val="20"/>
                <w:szCs w:val="20"/>
              </w:rPr>
            </w:pPr>
            <w:r w:rsidRPr="00FE6BDE">
              <w:rPr>
                <w:rFonts w:ascii="Calibri" w:eastAsia="Calibri" w:hAnsi="Calibri" w:cs="Times New Roman"/>
                <w:sz w:val="20"/>
                <w:szCs w:val="20"/>
              </w:rPr>
              <w:t>Discussion of relative accuracy/confidence</w:t>
            </w:r>
          </w:p>
        </w:tc>
        <w:tc>
          <w:tcPr>
            <w:tcW w:w="6974" w:type="dxa"/>
          </w:tcPr>
          <w:p w:rsidR="00D37698" w:rsidRPr="00FE6BDE" w:rsidRDefault="00D37698" w:rsidP="00D37698">
            <w:pPr>
              <w:numPr>
                <w:ilvl w:val="0"/>
                <w:numId w:val="5"/>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The relative accuracy of the Mineral Resource estimate is reflected in the reporting of the Mineral Resource as per the guidelines of the 2012 JORC Code.</w:t>
            </w:r>
          </w:p>
          <w:p w:rsidR="00D37698" w:rsidRPr="00FE6BDE" w:rsidRDefault="00D37698" w:rsidP="00D37698">
            <w:pPr>
              <w:numPr>
                <w:ilvl w:val="0"/>
                <w:numId w:val="5"/>
              </w:numPr>
              <w:spacing w:afterLines="20" w:after="48"/>
              <w:ind w:left="255" w:hanging="181"/>
              <w:contextualSpacing/>
              <w:rPr>
                <w:rFonts w:ascii="Calibri" w:eastAsia="Calibri" w:hAnsi="Calibri" w:cs="Times New Roman"/>
                <w:sz w:val="20"/>
                <w:szCs w:val="20"/>
              </w:rPr>
            </w:pPr>
            <w:r w:rsidRPr="00FE6BDE">
              <w:rPr>
                <w:rFonts w:ascii="Calibri" w:eastAsia="Calibri" w:hAnsi="Calibri" w:cs="Times New Roman"/>
                <w:sz w:val="20"/>
                <w:szCs w:val="20"/>
              </w:rPr>
              <w:t>The statement relates to global estimates of tonnes and grades.</w:t>
            </w:r>
          </w:p>
          <w:p w:rsidR="00D37698" w:rsidRPr="00FE6BDE" w:rsidRDefault="00D37698" w:rsidP="00D37698">
            <w:pPr>
              <w:numPr>
                <w:ilvl w:val="0"/>
                <w:numId w:val="5"/>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 xml:space="preserve">Annual reconciliation of mined resource blocks are used to compare mine production with pre-mining Mineral Resource estimates, and to update mining factors and assumptions.  </w:t>
            </w:r>
          </w:p>
        </w:tc>
      </w:tr>
    </w:tbl>
    <w:p w:rsidR="00D37698" w:rsidRPr="00FE6BDE" w:rsidRDefault="00D37698" w:rsidP="00D37698"/>
    <w:p w:rsidR="00D37698" w:rsidRPr="00FE6BDE" w:rsidRDefault="00D37698" w:rsidP="00D37698">
      <w:pPr>
        <w:spacing w:after="240" w:line="240" w:lineRule="auto"/>
        <w:jc w:val="center"/>
        <w:rPr>
          <w:b/>
          <w:sz w:val="28"/>
          <w:szCs w:val="28"/>
        </w:rPr>
      </w:pPr>
      <w:r w:rsidRPr="00FE6BDE">
        <w:br w:type="page"/>
      </w:r>
      <w:r w:rsidRPr="00FE6BDE">
        <w:rPr>
          <w:b/>
          <w:sz w:val="28"/>
          <w:szCs w:val="28"/>
        </w:rPr>
        <w:lastRenderedPageBreak/>
        <w:t>Section 4 Estimation and Reporting of Ore Reserves</w:t>
      </w:r>
    </w:p>
    <w:tbl>
      <w:tblPr>
        <w:tblStyle w:val="TableGrid"/>
        <w:tblW w:w="0" w:type="auto"/>
        <w:tblLook w:val="04A0" w:firstRow="1" w:lastRow="0" w:firstColumn="1" w:lastColumn="0" w:noHBand="0" w:noVBand="1"/>
      </w:tblPr>
      <w:tblGrid>
        <w:gridCol w:w="2268"/>
        <w:gridCol w:w="6974"/>
      </w:tblGrid>
      <w:tr w:rsidR="00D37698" w:rsidRPr="00FE6BDE" w:rsidTr="00373CF7">
        <w:trPr>
          <w:tblHeader/>
        </w:trPr>
        <w:tc>
          <w:tcPr>
            <w:tcW w:w="2268" w:type="dxa"/>
          </w:tcPr>
          <w:p w:rsidR="00D37698" w:rsidRPr="00FE6BDE" w:rsidRDefault="00D37698" w:rsidP="00373CF7">
            <w:pPr>
              <w:rPr>
                <w:b/>
                <w:sz w:val="28"/>
                <w:szCs w:val="28"/>
              </w:rPr>
            </w:pPr>
            <w:r w:rsidRPr="00FE6BDE">
              <w:rPr>
                <w:b/>
                <w:sz w:val="28"/>
                <w:szCs w:val="28"/>
              </w:rPr>
              <w:t>Criteria</w:t>
            </w:r>
          </w:p>
        </w:tc>
        <w:tc>
          <w:tcPr>
            <w:tcW w:w="6974" w:type="dxa"/>
          </w:tcPr>
          <w:p w:rsidR="00D37698" w:rsidRPr="00FE6BDE" w:rsidRDefault="00D37698" w:rsidP="00373CF7">
            <w:pPr>
              <w:rPr>
                <w:b/>
                <w:sz w:val="28"/>
                <w:szCs w:val="28"/>
              </w:rPr>
            </w:pPr>
            <w:r w:rsidRPr="00FE6BDE">
              <w:rPr>
                <w:b/>
                <w:sz w:val="28"/>
                <w:szCs w:val="28"/>
              </w:rPr>
              <w:t>Explanation</w:t>
            </w:r>
          </w:p>
        </w:tc>
      </w:tr>
      <w:tr w:rsidR="00D37698" w:rsidRPr="00FE6BDE" w:rsidTr="00373CF7">
        <w:tc>
          <w:tcPr>
            <w:tcW w:w="2268" w:type="dxa"/>
          </w:tcPr>
          <w:p w:rsidR="00D37698" w:rsidRPr="00FE6BDE" w:rsidRDefault="00D37698" w:rsidP="00373CF7">
            <w:pPr>
              <w:ind w:right="-108"/>
              <w:rPr>
                <w:sz w:val="20"/>
                <w:szCs w:val="20"/>
              </w:rPr>
            </w:pPr>
            <w:r w:rsidRPr="00FE6BDE">
              <w:rPr>
                <w:sz w:val="20"/>
                <w:szCs w:val="20"/>
              </w:rPr>
              <w:t>Mineral Resource estimate for conversion to Ore Reserves</w:t>
            </w:r>
          </w:p>
        </w:tc>
        <w:tc>
          <w:tcPr>
            <w:tcW w:w="6974" w:type="dxa"/>
          </w:tcPr>
          <w:p w:rsidR="00D37698" w:rsidRDefault="00D37698" w:rsidP="00D37698">
            <w:pPr>
              <w:pStyle w:val="ListParagraph"/>
              <w:numPr>
                <w:ilvl w:val="0"/>
                <w:numId w:val="6"/>
              </w:numPr>
              <w:ind w:left="252" w:hanging="180"/>
              <w:rPr>
                <w:sz w:val="20"/>
                <w:szCs w:val="20"/>
              </w:rPr>
            </w:pPr>
            <w:r w:rsidRPr="00FE6BDE">
              <w:rPr>
                <w:sz w:val="20"/>
                <w:szCs w:val="20"/>
              </w:rPr>
              <w:t>31 December 2014 Mineral Resource models were optimised by OMM technical staff using Whittle mining software to limit economic open pit extents utilising OMM updated mining, processing and logistics costs and physical parameters, and revenue assumptions.</w:t>
            </w:r>
          </w:p>
          <w:p w:rsidR="00D37698" w:rsidRPr="00FE6BDE" w:rsidRDefault="00D37698" w:rsidP="00D37698">
            <w:pPr>
              <w:pStyle w:val="ListParagraph"/>
              <w:numPr>
                <w:ilvl w:val="0"/>
                <w:numId w:val="6"/>
              </w:numPr>
              <w:ind w:left="252" w:hanging="180"/>
              <w:rPr>
                <w:sz w:val="20"/>
                <w:szCs w:val="20"/>
              </w:rPr>
            </w:pPr>
            <w:r>
              <w:rPr>
                <w:sz w:val="20"/>
                <w:szCs w:val="20"/>
              </w:rPr>
              <w:t xml:space="preserve">Open pit designs further constrained the above optimised Mineral Resource models with constraints such as minimum cut back width, practical waste rock storage, </w:t>
            </w:r>
            <w:proofErr w:type="gramStart"/>
            <w:r>
              <w:rPr>
                <w:sz w:val="20"/>
                <w:szCs w:val="20"/>
              </w:rPr>
              <w:t>pit</w:t>
            </w:r>
            <w:proofErr w:type="gramEnd"/>
            <w:r>
              <w:rPr>
                <w:sz w:val="20"/>
                <w:szCs w:val="20"/>
              </w:rPr>
              <w:t xml:space="preserve"> access and ramp location options.  </w:t>
            </w:r>
          </w:p>
          <w:p w:rsidR="00D37698" w:rsidRPr="00FE6BDE" w:rsidRDefault="00D37698" w:rsidP="00D37698">
            <w:pPr>
              <w:pStyle w:val="ListParagraph"/>
              <w:numPr>
                <w:ilvl w:val="0"/>
                <w:numId w:val="6"/>
              </w:numPr>
              <w:spacing w:after="60"/>
              <w:ind w:left="255" w:hanging="181"/>
              <w:rPr>
                <w:sz w:val="20"/>
                <w:szCs w:val="20"/>
              </w:rPr>
            </w:pPr>
            <w:r w:rsidRPr="00FE6BDE">
              <w:rPr>
                <w:sz w:val="20"/>
                <w:szCs w:val="20"/>
              </w:rPr>
              <w:t xml:space="preserve">Mineral Resources quoted are reported as </w:t>
            </w:r>
            <w:r w:rsidRPr="00FE6BDE">
              <w:rPr>
                <w:b/>
                <w:sz w:val="20"/>
                <w:szCs w:val="20"/>
              </w:rPr>
              <w:t>inclusive</w:t>
            </w:r>
            <w:r w:rsidRPr="00FE6BDE">
              <w:rPr>
                <w:sz w:val="20"/>
                <w:szCs w:val="20"/>
              </w:rPr>
              <w:t xml:space="preserve"> of Ore Reserves.</w:t>
            </w:r>
          </w:p>
        </w:tc>
      </w:tr>
      <w:tr w:rsidR="00D37698" w:rsidRPr="00FE6BDE" w:rsidTr="00373CF7">
        <w:trPr>
          <w:trHeight w:val="305"/>
        </w:trPr>
        <w:tc>
          <w:tcPr>
            <w:tcW w:w="2268" w:type="dxa"/>
          </w:tcPr>
          <w:p w:rsidR="00D37698" w:rsidRPr="00FE6BDE" w:rsidRDefault="00D37698" w:rsidP="00373CF7">
            <w:pPr>
              <w:rPr>
                <w:sz w:val="20"/>
                <w:szCs w:val="20"/>
              </w:rPr>
            </w:pPr>
            <w:r w:rsidRPr="00FE6BDE">
              <w:rPr>
                <w:sz w:val="20"/>
                <w:szCs w:val="20"/>
              </w:rPr>
              <w:t>Site visits</w:t>
            </w:r>
          </w:p>
        </w:tc>
        <w:tc>
          <w:tcPr>
            <w:tcW w:w="6974" w:type="dxa"/>
          </w:tcPr>
          <w:p w:rsidR="00D37698" w:rsidRPr="00FE6BDE" w:rsidRDefault="00D37698" w:rsidP="00D37698">
            <w:pPr>
              <w:pStyle w:val="ListParagraph"/>
              <w:numPr>
                <w:ilvl w:val="0"/>
                <w:numId w:val="2"/>
              </w:numPr>
              <w:spacing w:after="60"/>
              <w:ind w:left="255" w:hanging="181"/>
              <w:rPr>
                <w:sz w:val="20"/>
                <w:szCs w:val="20"/>
              </w:rPr>
            </w:pPr>
            <w:r w:rsidRPr="00FE6BDE">
              <w:rPr>
                <w:sz w:val="20"/>
                <w:szCs w:val="20"/>
              </w:rPr>
              <w:t>The Ore Reserve is located within an active mine camp and is visited regularly by the Competent Persons.</w:t>
            </w:r>
          </w:p>
        </w:tc>
      </w:tr>
      <w:tr w:rsidR="00D37698" w:rsidRPr="00FE6BDE" w:rsidTr="00373CF7">
        <w:tc>
          <w:tcPr>
            <w:tcW w:w="2268" w:type="dxa"/>
          </w:tcPr>
          <w:p w:rsidR="00D37698" w:rsidRPr="00FE6BDE" w:rsidRDefault="00D37698" w:rsidP="00373CF7">
            <w:pPr>
              <w:rPr>
                <w:sz w:val="20"/>
                <w:szCs w:val="20"/>
              </w:rPr>
            </w:pPr>
            <w:r w:rsidRPr="00FE6BDE">
              <w:rPr>
                <w:sz w:val="20"/>
                <w:szCs w:val="20"/>
              </w:rPr>
              <w:t>Study status</w:t>
            </w:r>
          </w:p>
        </w:tc>
        <w:tc>
          <w:tcPr>
            <w:tcW w:w="6974" w:type="dxa"/>
          </w:tcPr>
          <w:p w:rsidR="00D37698" w:rsidRPr="00FE6BDE" w:rsidRDefault="00D37698" w:rsidP="00D37698">
            <w:pPr>
              <w:pStyle w:val="ListParagraph"/>
              <w:numPr>
                <w:ilvl w:val="0"/>
                <w:numId w:val="3"/>
              </w:numPr>
              <w:ind w:left="252" w:hanging="180"/>
              <w:rPr>
                <w:sz w:val="20"/>
                <w:szCs w:val="20"/>
              </w:rPr>
            </w:pPr>
            <w:r w:rsidRPr="00FE6BDE">
              <w:rPr>
                <w:sz w:val="20"/>
                <w:szCs w:val="20"/>
              </w:rPr>
              <w:t>Bootu Creek manganese mine commenced production in 2006 and is an ongoing, mature manganese mining operation.</w:t>
            </w:r>
          </w:p>
          <w:p w:rsidR="00D37698" w:rsidRPr="00FE6BDE" w:rsidRDefault="00D37698" w:rsidP="00D37698">
            <w:pPr>
              <w:pStyle w:val="ListParagraph"/>
              <w:numPr>
                <w:ilvl w:val="0"/>
                <w:numId w:val="3"/>
              </w:numPr>
              <w:spacing w:after="60"/>
              <w:ind w:left="255" w:hanging="181"/>
              <w:rPr>
                <w:sz w:val="20"/>
                <w:szCs w:val="20"/>
              </w:rPr>
            </w:pPr>
            <w:r w:rsidRPr="00FE6BDE">
              <w:rPr>
                <w:sz w:val="20"/>
                <w:szCs w:val="20"/>
              </w:rPr>
              <w:t xml:space="preserve">Conversion of Mineral Resources to Ore Reserves in based on parameters derived from analysis of current operating practices, technical studies, and ongoing mine and processing performance. </w:t>
            </w:r>
          </w:p>
        </w:tc>
      </w:tr>
      <w:tr w:rsidR="00D37698" w:rsidRPr="00FE6BDE" w:rsidTr="00373CF7">
        <w:tc>
          <w:tcPr>
            <w:tcW w:w="2268" w:type="dxa"/>
          </w:tcPr>
          <w:p w:rsidR="00D37698" w:rsidRPr="00FE6BDE" w:rsidRDefault="00D37698" w:rsidP="00373CF7">
            <w:pPr>
              <w:rPr>
                <w:sz w:val="20"/>
                <w:szCs w:val="20"/>
              </w:rPr>
            </w:pPr>
            <w:r w:rsidRPr="00FE6BDE">
              <w:rPr>
                <w:sz w:val="20"/>
                <w:szCs w:val="20"/>
              </w:rPr>
              <w:t>Cut-off parameters</w:t>
            </w:r>
          </w:p>
        </w:tc>
        <w:tc>
          <w:tcPr>
            <w:tcW w:w="6974" w:type="dxa"/>
          </w:tcPr>
          <w:p w:rsidR="00D37698" w:rsidRPr="00FE6BDE" w:rsidRDefault="00D37698" w:rsidP="00D37698">
            <w:pPr>
              <w:pStyle w:val="ListParagraph"/>
              <w:numPr>
                <w:ilvl w:val="0"/>
                <w:numId w:val="4"/>
              </w:numPr>
              <w:spacing w:after="60"/>
              <w:ind w:left="255" w:hanging="181"/>
              <w:rPr>
                <w:sz w:val="20"/>
                <w:szCs w:val="20"/>
              </w:rPr>
            </w:pPr>
            <w:r w:rsidRPr="00FE6BDE">
              <w:rPr>
                <w:sz w:val="20"/>
                <w:szCs w:val="20"/>
              </w:rPr>
              <w:t>The current 15% Mn cut-off grade has been affirmed after several years of mining and processing Bootu Creek ore. Manganese product derived from the DMS (Dense Media Separation) plant feed is not linear in relation to the plant head grade and product yield either decreases rapidly or fails to produce an acceptable product grade below the 15% Mn cut-off grade.</w:t>
            </w:r>
          </w:p>
        </w:tc>
      </w:tr>
      <w:tr w:rsidR="00D37698" w:rsidRPr="00FE6BDE" w:rsidTr="00373CF7">
        <w:tc>
          <w:tcPr>
            <w:tcW w:w="2268" w:type="dxa"/>
          </w:tcPr>
          <w:p w:rsidR="00D37698" w:rsidRPr="00FE6BDE" w:rsidRDefault="00D37698" w:rsidP="00373CF7">
            <w:pPr>
              <w:rPr>
                <w:sz w:val="20"/>
                <w:szCs w:val="20"/>
              </w:rPr>
            </w:pPr>
            <w:r w:rsidRPr="00FE6BDE">
              <w:rPr>
                <w:sz w:val="20"/>
                <w:szCs w:val="20"/>
              </w:rPr>
              <w:t>Mining factors or assumptions</w:t>
            </w:r>
          </w:p>
        </w:tc>
        <w:tc>
          <w:tcPr>
            <w:tcW w:w="6974" w:type="dxa"/>
          </w:tcPr>
          <w:p w:rsidR="00D37698" w:rsidRPr="00FE6BDE" w:rsidRDefault="00D37698" w:rsidP="00D37698">
            <w:pPr>
              <w:numPr>
                <w:ilvl w:val="0"/>
                <w:numId w:val="4"/>
              </w:numPr>
              <w:spacing w:afterLines="20" w:after="48"/>
              <w:ind w:left="252" w:hanging="180"/>
              <w:contextualSpacing/>
              <w:rPr>
                <w:rFonts w:ascii="Calibri" w:eastAsia="Calibri" w:hAnsi="Calibri" w:cs="Times New Roman"/>
                <w:sz w:val="20"/>
                <w:szCs w:val="20"/>
              </w:rPr>
            </w:pPr>
            <w:r w:rsidRPr="00FE6BDE">
              <w:rPr>
                <w:rFonts w:ascii="Calibri" w:eastAsia="Calibri" w:hAnsi="Calibri" w:cs="Times New Roman"/>
                <w:sz w:val="20"/>
                <w:szCs w:val="20"/>
              </w:rPr>
              <w:t>The Mineral Resource estimates were optimised by OMM technical staff utilising Whittle mining software to limit economic open pit extents based on long term revenue, mining, processing and logistic parameters set by OMM.</w:t>
            </w:r>
          </w:p>
          <w:p w:rsidR="00D37698" w:rsidRPr="00FE6BDE" w:rsidRDefault="00D37698" w:rsidP="00D37698">
            <w:pPr>
              <w:pStyle w:val="ListParagraph"/>
              <w:numPr>
                <w:ilvl w:val="0"/>
                <w:numId w:val="4"/>
              </w:numPr>
              <w:ind w:left="252" w:hanging="180"/>
              <w:rPr>
                <w:sz w:val="20"/>
                <w:szCs w:val="20"/>
              </w:rPr>
            </w:pPr>
            <w:r w:rsidRPr="00FE6BDE">
              <w:rPr>
                <w:sz w:val="20"/>
                <w:szCs w:val="20"/>
              </w:rPr>
              <w:t>All current and planned mining is by open pit mining methods.</w:t>
            </w:r>
          </w:p>
          <w:p w:rsidR="00D37698" w:rsidRPr="00FE6BDE" w:rsidRDefault="00D37698" w:rsidP="00D37698">
            <w:pPr>
              <w:pStyle w:val="ListParagraph"/>
              <w:numPr>
                <w:ilvl w:val="0"/>
                <w:numId w:val="4"/>
              </w:numPr>
              <w:ind w:left="284" w:hanging="200"/>
              <w:rPr>
                <w:sz w:val="20"/>
                <w:szCs w:val="20"/>
              </w:rPr>
            </w:pPr>
            <w:r w:rsidRPr="00FE6BDE">
              <w:rPr>
                <w:sz w:val="20"/>
                <w:szCs w:val="20"/>
              </w:rPr>
              <w:t xml:space="preserve">Geotechnical parameters including batter angles and berm widths and intervals were </w:t>
            </w:r>
            <w:r w:rsidRPr="00FE6BDE">
              <w:rPr>
                <w:rFonts w:ascii="Calibri" w:eastAsia="Calibri" w:hAnsi="Calibri" w:cs="Times New Roman"/>
                <w:sz w:val="20"/>
                <w:szCs w:val="20"/>
              </w:rPr>
              <w:t>recommended by independent mining consultants Coffey Mining Pty Ltd following ongoing review of BC mining operations.</w:t>
            </w:r>
            <w:r w:rsidRPr="00FE6BDE" w:rsidDel="00AF7B74">
              <w:rPr>
                <w:sz w:val="20"/>
                <w:szCs w:val="20"/>
              </w:rPr>
              <w:t xml:space="preserve"> </w:t>
            </w:r>
          </w:p>
          <w:p w:rsidR="00D37698" w:rsidRPr="00FE6BDE" w:rsidRDefault="00D37698" w:rsidP="00D37698">
            <w:pPr>
              <w:pStyle w:val="ListParagraph"/>
              <w:numPr>
                <w:ilvl w:val="0"/>
                <w:numId w:val="4"/>
              </w:numPr>
              <w:ind w:left="252" w:hanging="180"/>
              <w:rPr>
                <w:sz w:val="20"/>
                <w:szCs w:val="20"/>
              </w:rPr>
            </w:pPr>
            <w:r w:rsidRPr="00FE6BDE">
              <w:rPr>
                <w:sz w:val="20"/>
                <w:szCs w:val="20"/>
              </w:rPr>
              <w:t>Open pit slope angles, determined by an Independent Geotechnical Consultant are at an overall slope angle, including berms, of 45</w:t>
            </w:r>
            <w:r w:rsidRPr="00FE6BDE">
              <w:rPr>
                <w:sz w:val="20"/>
                <w:szCs w:val="20"/>
                <w:vertAlign w:val="superscript"/>
              </w:rPr>
              <w:t>o</w:t>
            </w:r>
            <w:r w:rsidRPr="00FE6BDE">
              <w:rPr>
                <w:sz w:val="20"/>
                <w:szCs w:val="20"/>
              </w:rPr>
              <w:t xml:space="preserve"> to 55</w:t>
            </w:r>
            <w:r w:rsidRPr="00FE6BDE">
              <w:rPr>
                <w:sz w:val="20"/>
                <w:szCs w:val="20"/>
                <w:vertAlign w:val="superscript"/>
              </w:rPr>
              <w:t>o</w:t>
            </w:r>
            <w:r w:rsidRPr="00FE6BDE">
              <w:rPr>
                <w:sz w:val="20"/>
                <w:szCs w:val="20"/>
              </w:rPr>
              <w:t xml:space="preserve"> for hanging wall and end walls, and with footwall batter angles not exceeding the local bedding planes. </w:t>
            </w:r>
          </w:p>
          <w:p w:rsidR="00D37698" w:rsidRPr="00FE6BDE" w:rsidRDefault="00D37698" w:rsidP="00D37698">
            <w:pPr>
              <w:pStyle w:val="ListParagraph"/>
              <w:numPr>
                <w:ilvl w:val="0"/>
                <w:numId w:val="4"/>
              </w:numPr>
              <w:ind w:left="252" w:hanging="180"/>
              <w:rPr>
                <w:sz w:val="20"/>
                <w:szCs w:val="20"/>
              </w:rPr>
            </w:pPr>
            <w:r w:rsidRPr="00FE6BDE">
              <w:rPr>
                <w:sz w:val="20"/>
                <w:szCs w:val="20"/>
              </w:rPr>
              <w:t>Diluted Grade is reviewed each year by reconciliation of the previous year’s mine production. The Ore Reserve grade is quoted as a ‘diluted’ grade and is currently set at 86% of the contributing ‘undiluted’ Mineral Resource block grades.</w:t>
            </w:r>
          </w:p>
          <w:p w:rsidR="00D37698" w:rsidRPr="00FE6BDE" w:rsidRDefault="00D37698" w:rsidP="00D37698">
            <w:pPr>
              <w:pStyle w:val="ListParagraph"/>
              <w:numPr>
                <w:ilvl w:val="0"/>
                <w:numId w:val="4"/>
              </w:numPr>
              <w:ind w:left="252" w:hanging="180"/>
              <w:rPr>
                <w:sz w:val="20"/>
                <w:szCs w:val="20"/>
              </w:rPr>
            </w:pPr>
            <w:r w:rsidRPr="00FE6BDE">
              <w:rPr>
                <w:sz w:val="20"/>
                <w:szCs w:val="20"/>
              </w:rPr>
              <w:t>Mine Recovery is also reviewed each year by reconciliation of the previous year’s mine production. The Mine Tonnage Factor is currently estimated at 105% (inclusive of dilution) of the contributing ‘undiluted’ Mineral Resource block tonnes. The overa</w:t>
            </w:r>
            <w:r>
              <w:rPr>
                <w:sz w:val="20"/>
                <w:szCs w:val="20"/>
              </w:rPr>
              <w:t>ll Metal Recovery Factor is 90.3</w:t>
            </w:r>
            <w:r w:rsidRPr="00FE6BDE">
              <w:rPr>
                <w:sz w:val="20"/>
                <w:szCs w:val="20"/>
              </w:rPr>
              <w:t>%</w:t>
            </w:r>
            <w:r>
              <w:rPr>
                <w:sz w:val="20"/>
                <w:szCs w:val="20"/>
              </w:rPr>
              <w:t xml:space="preserve"> (1.05*0.86).</w:t>
            </w:r>
            <w:r w:rsidRPr="00FE6BDE">
              <w:rPr>
                <w:sz w:val="20"/>
                <w:szCs w:val="20"/>
              </w:rPr>
              <w:t xml:space="preserve">    </w:t>
            </w:r>
          </w:p>
          <w:p w:rsidR="00D37698" w:rsidRPr="00FE6BDE" w:rsidRDefault="00D37698" w:rsidP="00D37698">
            <w:pPr>
              <w:pStyle w:val="ListParagraph"/>
              <w:numPr>
                <w:ilvl w:val="0"/>
                <w:numId w:val="4"/>
              </w:numPr>
              <w:ind w:left="252" w:hanging="180"/>
              <w:rPr>
                <w:sz w:val="20"/>
                <w:szCs w:val="20"/>
              </w:rPr>
            </w:pPr>
            <w:r w:rsidRPr="00FE6BDE">
              <w:rPr>
                <w:sz w:val="20"/>
                <w:szCs w:val="20"/>
              </w:rPr>
              <w:t xml:space="preserve">Minimum mining unit is effectively 2.5m vertically by 5m across and 5m along strike. The minimum drill intersection length applied in the Mineral Resource and Ore Reserve estimation is 3 m and is close to true width.  </w:t>
            </w:r>
          </w:p>
          <w:p w:rsidR="00D37698" w:rsidRPr="00FE6BDE" w:rsidRDefault="00D37698" w:rsidP="00D37698">
            <w:pPr>
              <w:pStyle w:val="ListParagraph"/>
              <w:numPr>
                <w:ilvl w:val="0"/>
                <w:numId w:val="4"/>
              </w:numPr>
              <w:ind w:left="252" w:hanging="180"/>
              <w:rPr>
                <w:sz w:val="20"/>
                <w:szCs w:val="20"/>
              </w:rPr>
            </w:pPr>
            <w:r w:rsidRPr="00FE6BDE">
              <w:rPr>
                <w:sz w:val="20"/>
                <w:szCs w:val="20"/>
              </w:rPr>
              <w:t>Inferred Mineral Resources have not been utilised nor included in Ore Reserves.</w:t>
            </w:r>
          </w:p>
          <w:p w:rsidR="00D37698" w:rsidRPr="00FE6BDE" w:rsidRDefault="00D37698" w:rsidP="00D37698">
            <w:pPr>
              <w:pStyle w:val="ListParagraph"/>
              <w:numPr>
                <w:ilvl w:val="0"/>
                <w:numId w:val="4"/>
              </w:numPr>
              <w:spacing w:after="60"/>
              <w:ind w:left="255" w:hanging="181"/>
              <w:rPr>
                <w:sz w:val="20"/>
                <w:szCs w:val="20"/>
              </w:rPr>
            </w:pPr>
            <w:r w:rsidRPr="00FE6BDE">
              <w:rPr>
                <w:sz w:val="20"/>
                <w:szCs w:val="20"/>
              </w:rPr>
              <w:t>Bootu Creek in a mature manganese mining and processing operation with all of the necessary mining infrastructures in place.</w:t>
            </w:r>
          </w:p>
        </w:tc>
      </w:tr>
      <w:tr w:rsidR="00D37698" w:rsidRPr="00FE6BDE" w:rsidTr="00373CF7">
        <w:tc>
          <w:tcPr>
            <w:tcW w:w="2268" w:type="dxa"/>
          </w:tcPr>
          <w:p w:rsidR="00D37698" w:rsidRPr="00FE6BDE" w:rsidRDefault="00D37698" w:rsidP="00373CF7">
            <w:pPr>
              <w:rPr>
                <w:sz w:val="20"/>
                <w:szCs w:val="20"/>
              </w:rPr>
            </w:pPr>
            <w:r w:rsidRPr="00FE6BDE">
              <w:rPr>
                <w:sz w:val="20"/>
                <w:szCs w:val="20"/>
              </w:rPr>
              <w:t>Metallurgical factors or assumptions</w:t>
            </w:r>
          </w:p>
        </w:tc>
        <w:tc>
          <w:tcPr>
            <w:tcW w:w="6974" w:type="dxa"/>
          </w:tcPr>
          <w:p w:rsidR="00D37698" w:rsidRPr="00FE6BDE" w:rsidRDefault="00D37698" w:rsidP="00D37698">
            <w:pPr>
              <w:pStyle w:val="ListParagraph"/>
              <w:numPr>
                <w:ilvl w:val="0"/>
                <w:numId w:val="8"/>
              </w:numPr>
              <w:ind w:left="255" w:hanging="181"/>
              <w:rPr>
                <w:sz w:val="20"/>
                <w:szCs w:val="20"/>
              </w:rPr>
            </w:pPr>
            <w:r>
              <w:rPr>
                <w:sz w:val="20"/>
                <w:szCs w:val="20"/>
              </w:rPr>
              <w:t>The H</w:t>
            </w:r>
            <w:r w:rsidRPr="00FE6BDE">
              <w:rPr>
                <w:sz w:val="20"/>
                <w:szCs w:val="20"/>
              </w:rPr>
              <w:t>MS treatment plant has been in operation since 2006 and has since been modified to maximise tonnes processed, product yield and manganese recovery.</w:t>
            </w:r>
          </w:p>
          <w:p w:rsidR="00D37698" w:rsidRPr="00FE6BDE" w:rsidRDefault="00D37698" w:rsidP="00D37698">
            <w:pPr>
              <w:pStyle w:val="ListParagraph"/>
              <w:numPr>
                <w:ilvl w:val="0"/>
                <w:numId w:val="8"/>
              </w:numPr>
              <w:ind w:left="252" w:hanging="180"/>
              <w:rPr>
                <w:sz w:val="20"/>
                <w:szCs w:val="20"/>
              </w:rPr>
            </w:pPr>
            <w:r w:rsidRPr="00FE6BDE">
              <w:rPr>
                <w:sz w:val="20"/>
                <w:szCs w:val="20"/>
              </w:rPr>
              <w:t xml:space="preserve">The heavy media plant is well-tested technology and well suited to the manganese ores being processed. </w:t>
            </w:r>
          </w:p>
          <w:p w:rsidR="00D37698" w:rsidRPr="00FE6BDE" w:rsidRDefault="00D37698" w:rsidP="00D37698">
            <w:pPr>
              <w:pStyle w:val="ListParagraph"/>
              <w:numPr>
                <w:ilvl w:val="0"/>
                <w:numId w:val="5"/>
              </w:numPr>
              <w:ind w:left="252" w:hanging="180"/>
              <w:rPr>
                <w:sz w:val="20"/>
                <w:szCs w:val="20"/>
              </w:rPr>
            </w:pPr>
            <w:r w:rsidRPr="00FE6BDE">
              <w:rPr>
                <w:sz w:val="20"/>
                <w:szCs w:val="20"/>
              </w:rPr>
              <w:lastRenderedPageBreak/>
              <w:t>Metallurgical test work was conducted on 93 composites selected from 79 diamond holes drilled into all deposits included in Ore Reserves.  The test work consists of individual particle pyknometry (IPP) on lump ore and Heavy Liquid Separation (HLS) test work on fines.</w:t>
            </w:r>
          </w:p>
          <w:p w:rsidR="00D37698" w:rsidRPr="00FE6BDE" w:rsidRDefault="00D37698" w:rsidP="00D37698">
            <w:pPr>
              <w:pStyle w:val="ListParagraph"/>
              <w:numPr>
                <w:ilvl w:val="0"/>
                <w:numId w:val="5"/>
              </w:numPr>
              <w:ind w:left="252" w:hanging="180"/>
              <w:rPr>
                <w:sz w:val="20"/>
                <w:szCs w:val="20"/>
              </w:rPr>
            </w:pPr>
            <w:r w:rsidRPr="00FE6BDE">
              <w:rPr>
                <w:sz w:val="20"/>
                <w:szCs w:val="20"/>
              </w:rPr>
              <w:t xml:space="preserve">The only significant deleterious element is Fe and that is managed by blending ore sources or product stockpiles. </w:t>
            </w:r>
          </w:p>
          <w:p w:rsidR="00D37698" w:rsidRPr="00FE6BDE" w:rsidRDefault="00D37698" w:rsidP="00D37698">
            <w:pPr>
              <w:pStyle w:val="ListParagraph"/>
              <w:numPr>
                <w:ilvl w:val="0"/>
                <w:numId w:val="8"/>
              </w:numPr>
              <w:ind w:left="252" w:hanging="180"/>
              <w:rPr>
                <w:sz w:val="20"/>
                <w:szCs w:val="20"/>
              </w:rPr>
            </w:pPr>
            <w:r w:rsidRPr="00FE6BDE">
              <w:rPr>
                <w:sz w:val="20"/>
                <w:szCs w:val="20"/>
              </w:rPr>
              <w:t>Metallurgical assumptions are based on test work conducted on 93 composites selected from 79 diamond holes drilled into all deposits included in the Ore Reserve. Plant reconciliation factors are reviewed annually and factors including product yield and manganese recovery are updated annually.</w:t>
            </w:r>
          </w:p>
          <w:p w:rsidR="00D37698" w:rsidRPr="00FE6BDE" w:rsidRDefault="00D37698" w:rsidP="00D37698">
            <w:pPr>
              <w:pStyle w:val="ListParagraph"/>
              <w:numPr>
                <w:ilvl w:val="0"/>
                <w:numId w:val="4"/>
              </w:numPr>
              <w:ind w:left="252" w:hanging="180"/>
              <w:rPr>
                <w:sz w:val="20"/>
                <w:szCs w:val="20"/>
              </w:rPr>
            </w:pPr>
            <w:r w:rsidRPr="00FE6BDE">
              <w:rPr>
                <w:sz w:val="20"/>
                <w:szCs w:val="20"/>
              </w:rPr>
              <w:t xml:space="preserve">Manganese oxide mineralogy is not relevant for the Ore Reserve estimation. </w:t>
            </w:r>
          </w:p>
        </w:tc>
      </w:tr>
      <w:tr w:rsidR="00D37698" w:rsidRPr="00FE6BDE" w:rsidTr="00373CF7">
        <w:tc>
          <w:tcPr>
            <w:tcW w:w="2268" w:type="dxa"/>
          </w:tcPr>
          <w:p w:rsidR="00D37698" w:rsidRPr="00FE6BDE" w:rsidRDefault="00D37698" w:rsidP="00373CF7">
            <w:pPr>
              <w:rPr>
                <w:sz w:val="20"/>
                <w:szCs w:val="20"/>
              </w:rPr>
            </w:pPr>
            <w:r w:rsidRPr="00FE6BDE">
              <w:rPr>
                <w:sz w:val="20"/>
                <w:szCs w:val="20"/>
              </w:rPr>
              <w:lastRenderedPageBreak/>
              <w:t>Environmental</w:t>
            </w:r>
          </w:p>
        </w:tc>
        <w:tc>
          <w:tcPr>
            <w:tcW w:w="6974" w:type="dxa"/>
          </w:tcPr>
          <w:p w:rsidR="00D37698" w:rsidRPr="00FE6BDE" w:rsidRDefault="00D37698" w:rsidP="00D37698">
            <w:pPr>
              <w:pStyle w:val="ListParagraph"/>
              <w:numPr>
                <w:ilvl w:val="0"/>
                <w:numId w:val="9"/>
              </w:numPr>
              <w:ind w:left="252" w:hanging="180"/>
              <w:rPr>
                <w:sz w:val="20"/>
                <w:szCs w:val="20"/>
              </w:rPr>
            </w:pPr>
            <w:r w:rsidRPr="00FE6BDE">
              <w:rPr>
                <w:sz w:val="20"/>
                <w:szCs w:val="20"/>
              </w:rPr>
              <w:t xml:space="preserve">There are no significant environmental impacts arising from mining or processing. Waste rock and processing tails are stored on site are not acid generating. The only additive used in ore processing is ferrosilicon.   </w:t>
            </w:r>
          </w:p>
          <w:p w:rsidR="00D37698" w:rsidRPr="00FE6BDE" w:rsidRDefault="00D37698" w:rsidP="00D37698">
            <w:pPr>
              <w:pStyle w:val="ListParagraph"/>
              <w:numPr>
                <w:ilvl w:val="0"/>
                <w:numId w:val="8"/>
              </w:numPr>
              <w:ind w:left="255" w:hanging="181"/>
              <w:rPr>
                <w:sz w:val="20"/>
                <w:szCs w:val="20"/>
              </w:rPr>
            </w:pPr>
            <w:r w:rsidRPr="00FE6BDE">
              <w:rPr>
                <w:sz w:val="20"/>
                <w:szCs w:val="20"/>
              </w:rPr>
              <w:t>Bootu Creek in an operating mine site and processing plant with Waste Management Plans submitted for waste rock and tailings storage to, and approved by the Northern Territory Department of Mines and Energy.</w:t>
            </w:r>
          </w:p>
        </w:tc>
      </w:tr>
      <w:tr w:rsidR="00D37698" w:rsidRPr="00FE6BDE" w:rsidTr="00373CF7">
        <w:tc>
          <w:tcPr>
            <w:tcW w:w="2268" w:type="dxa"/>
          </w:tcPr>
          <w:p w:rsidR="00D37698" w:rsidRPr="00FE6BDE" w:rsidRDefault="00D37698" w:rsidP="00373CF7">
            <w:pPr>
              <w:rPr>
                <w:sz w:val="20"/>
                <w:szCs w:val="20"/>
              </w:rPr>
            </w:pPr>
            <w:r w:rsidRPr="00FE6BDE">
              <w:rPr>
                <w:sz w:val="20"/>
                <w:szCs w:val="20"/>
              </w:rPr>
              <w:t>Infrastructure</w:t>
            </w:r>
          </w:p>
        </w:tc>
        <w:tc>
          <w:tcPr>
            <w:tcW w:w="6974" w:type="dxa"/>
          </w:tcPr>
          <w:p w:rsidR="00D37698" w:rsidRPr="00FE6BDE" w:rsidRDefault="00D37698" w:rsidP="00D37698">
            <w:pPr>
              <w:pStyle w:val="ListParagraph"/>
              <w:numPr>
                <w:ilvl w:val="0"/>
                <w:numId w:val="9"/>
              </w:numPr>
              <w:ind w:left="252" w:hanging="180"/>
              <w:rPr>
                <w:sz w:val="20"/>
                <w:szCs w:val="20"/>
              </w:rPr>
            </w:pPr>
            <w:r w:rsidRPr="00FE6BDE">
              <w:rPr>
                <w:sz w:val="20"/>
                <w:szCs w:val="20"/>
              </w:rPr>
              <w:t>Bootu Creek mine site in a mature manganese mining and processing operation with all mining, processing, rail and port infrastructure in place and operational.</w:t>
            </w:r>
          </w:p>
        </w:tc>
      </w:tr>
      <w:tr w:rsidR="00D37698" w:rsidRPr="00FE6BDE" w:rsidTr="00373CF7">
        <w:tc>
          <w:tcPr>
            <w:tcW w:w="2268" w:type="dxa"/>
          </w:tcPr>
          <w:p w:rsidR="00D37698" w:rsidRPr="00FE6BDE" w:rsidRDefault="00D37698" w:rsidP="00373CF7">
            <w:pPr>
              <w:rPr>
                <w:sz w:val="20"/>
                <w:szCs w:val="20"/>
              </w:rPr>
            </w:pPr>
            <w:r w:rsidRPr="00FE6BDE">
              <w:rPr>
                <w:sz w:val="20"/>
                <w:szCs w:val="20"/>
              </w:rPr>
              <w:t>Costs</w:t>
            </w:r>
          </w:p>
        </w:tc>
        <w:tc>
          <w:tcPr>
            <w:tcW w:w="6974" w:type="dxa"/>
          </w:tcPr>
          <w:p w:rsidR="00D37698" w:rsidRPr="00FE6BDE" w:rsidRDefault="00D37698" w:rsidP="00D37698">
            <w:pPr>
              <w:pStyle w:val="ListParagraph"/>
              <w:numPr>
                <w:ilvl w:val="0"/>
                <w:numId w:val="5"/>
              </w:numPr>
              <w:ind w:left="252" w:hanging="180"/>
              <w:rPr>
                <w:sz w:val="20"/>
                <w:szCs w:val="20"/>
              </w:rPr>
            </w:pPr>
            <w:r w:rsidRPr="00FE6BDE">
              <w:rPr>
                <w:sz w:val="20"/>
                <w:szCs w:val="20"/>
              </w:rPr>
              <w:t>All major capital projects are completed and operational.</w:t>
            </w:r>
          </w:p>
          <w:p w:rsidR="00D37698" w:rsidRPr="00FE6BDE" w:rsidRDefault="00D37698" w:rsidP="00D37698">
            <w:pPr>
              <w:pStyle w:val="ListParagraph"/>
              <w:numPr>
                <w:ilvl w:val="0"/>
                <w:numId w:val="5"/>
              </w:numPr>
              <w:ind w:left="252" w:hanging="180"/>
              <w:rPr>
                <w:sz w:val="20"/>
                <w:szCs w:val="20"/>
              </w:rPr>
            </w:pPr>
            <w:r w:rsidRPr="00FE6BDE">
              <w:rPr>
                <w:sz w:val="20"/>
                <w:szCs w:val="20"/>
              </w:rPr>
              <w:t>Operating costs and sustaining capital are derived from analysis of the current Bootu Creek mining and processing operation and 2015 budget.</w:t>
            </w:r>
          </w:p>
          <w:p w:rsidR="00D37698" w:rsidRPr="00FE6BDE" w:rsidRDefault="00D37698" w:rsidP="00D37698">
            <w:pPr>
              <w:pStyle w:val="ListParagraph"/>
              <w:numPr>
                <w:ilvl w:val="0"/>
                <w:numId w:val="5"/>
              </w:numPr>
              <w:ind w:left="252" w:hanging="180"/>
              <w:rPr>
                <w:sz w:val="20"/>
                <w:szCs w:val="20"/>
              </w:rPr>
            </w:pPr>
            <w:r w:rsidRPr="00FE6BDE">
              <w:rPr>
                <w:sz w:val="20"/>
                <w:szCs w:val="20"/>
              </w:rPr>
              <w:t>Deleterious elements are managed within specified maximum limits and no specific pricing allowance is used. Price discounts are applied for a specified range of lower grade manganese products.</w:t>
            </w:r>
          </w:p>
          <w:p w:rsidR="00D37698" w:rsidRPr="00FE6BDE" w:rsidRDefault="00D37698" w:rsidP="00D37698">
            <w:pPr>
              <w:pStyle w:val="ListParagraph"/>
              <w:numPr>
                <w:ilvl w:val="0"/>
                <w:numId w:val="5"/>
              </w:numPr>
              <w:ind w:left="252" w:hanging="180"/>
              <w:rPr>
                <w:sz w:val="20"/>
                <w:szCs w:val="20"/>
              </w:rPr>
            </w:pPr>
            <w:r w:rsidRPr="00FE6BDE">
              <w:rPr>
                <w:sz w:val="20"/>
                <w:szCs w:val="20"/>
              </w:rPr>
              <w:t>Commodity prices are discussed in Revenue factors.</w:t>
            </w:r>
          </w:p>
          <w:p w:rsidR="00D37698" w:rsidRPr="00FE6BDE" w:rsidRDefault="00D37698" w:rsidP="00D37698">
            <w:pPr>
              <w:pStyle w:val="ListParagraph"/>
              <w:numPr>
                <w:ilvl w:val="0"/>
                <w:numId w:val="5"/>
              </w:numPr>
              <w:ind w:left="252" w:hanging="180"/>
              <w:rPr>
                <w:sz w:val="20"/>
                <w:szCs w:val="20"/>
              </w:rPr>
            </w:pPr>
            <w:r w:rsidRPr="00FE6BDE">
              <w:rPr>
                <w:sz w:val="20"/>
                <w:szCs w:val="20"/>
              </w:rPr>
              <w:t>Exchange rates are discussed in Revenue factors.</w:t>
            </w:r>
          </w:p>
          <w:p w:rsidR="00D37698" w:rsidRPr="00FE6BDE" w:rsidRDefault="00D37698" w:rsidP="00D37698">
            <w:pPr>
              <w:pStyle w:val="ListParagraph"/>
              <w:numPr>
                <w:ilvl w:val="0"/>
                <w:numId w:val="5"/>
              </w:numPr>
              <w:ind w:left="252" w:hanging="180"/>
              <w:rPr>
                <w:sz w:val="20"/>
                <w:szCs w:val="20"/>
              </w:rPr>
            </w:pPr>
            <w:r w:rsidRPr="00FE6BDE">
              <w:rPr>
                <w:sz w:val="20"/>
                <w:szCs w:val="20"/>
              </w:rPr>
              <w:t>Road and rail transportation charges are based on current contracted terms and rates.</w:t>
            </w:r>
          </w:p>
          <w:p w:rsidR="00D37698" w:rsidRPr="00FE6BDE" w:rsidRDefault="00D37698" w:rsidP="00D37698">
            <w:pPr>
              <w:pStyle w:val="ListParagraph"/>
              <w:numPr>
                <w:ilvl w:val="0"/>
                <w:numId w:val="5"/>
              </w:numPr>
              <w:ind w:left="252" w:hanging="180"/>
              <w:rPr>
                <w:sz w:val="20"/>
                <w:szCs w:val="20"/>
              </w:rPr>
            </w:pPr>
            <w:r w:rsidRPr="00FE6BDE">
              <w:rPr>
                <w:sz w:val="20"/>
                <w:szCs w:val="20"/>
              </w:rPr>
              <w:t>Refining charges are not relevant and product specification penalties are rare and have not been applied.</w:t>
            </w:r>
          </w:p>
          <w:p w:rsidR="00D37698" w:rsidRPr="00FE6BDE" w:rsidRDefault="00D37698" w:rsidP="00D37698">
            <w:pPr>
              <w:pStyle w:val="ListParagraph"/>
              <w:numPr>
                <w:ilvl w:val="0"/>
                <w:numId w:val="9"/>
              </w:numPr>
              <w:ind w:left="252" w:hanging="180"/>
              <w:rPr>
                <w:sz w:val="20"/>
                <w:szCs w:val="20"/>
              </w:rPr>
            </w:pPr>
            <w:r w:rsidRPr="00FE6BDE">
              <w:rPr>
                <w:sz w:val="20"/>
                <w:szCs w:val="20"/>
              </w:rPr>
              <w:t>Royalties are payable to the original project vendor and the Northern Land Council (on behalf of Traditional Owners). The Northern Territory government royalty is on a net value basis (considered as a “tax”) and as such is not included in the optimisation process.</w:t>
            </w:r>
          </w:p>
          <w:p w:rsidR="00D37698" w:rsidRPr="00FE6BDE" w:rsidRDefault="00D37698" w:rsidP="00D37698">
            <w:pPr>
              <w:pStyle w:val="ListParagraph"/>
              <w:numPr>
                <w:ilvl w:val="0"/>
                <w:numId w:val="9"/>
              </w:numPr>
              <w:ind w:left="252" w:hanging="180"/>
              <w:rPr>
                <w:sz w:val="20"/>
                <w:szCs w:val="20"/>
              </w:rPr>
            </w:pPr>
            <w:r w:rsidRPr="00FE6BDE">
              <w:rPr>
                <w:sz w:val="20"/>
                <w:szCs w:val="20"/>
              </w:rPr>
              <w:t>Royalty charges are allowed for in project costing and applied in the pit optimisation process.</w:t>
            </w:r>
          </w:p>
        </w:tc>
      </w:tr>
      <w:tr w:rsidR="00D37698" w:rsidRPr="00FE6BDE" w:rsidTr="00373CF7">
        <w:tc>
          <w:tcPr>
            <w:tcW w:w="2268" w:type="dxa"/>
          </w:tcPr>
          <w:p w:rsidR="00D37698" w:rsidRPr="00FE6BDE" w:rsidRDefault="00D37698" w:rsidP="00373CF7">
            <w:pPr>
              <w:rPr>
                <w:sz w:val="20"/>
                <w:szCs w:val="20"/>
              </w:rPr>
            </w:pPr>
            <w:r w:rsidRPr="00FE6BDE">
              <w:rPr>
                <w:sz w:val="20"/>
                <w:szCs w:val="20"/>
              </w:rPr>
              <w:t>Revenue factors</w:t>
            </w:r>
          </w:p>
        </w:tc>
        <w:tc>
          <w:tcPr>
            <w:tcW w:w="6974" w:type="dxa"/>
          </w:tcPr>
          <w:p w:rsidR="00D37698" w:rsidRPr="00FE6BDE" w:rsidRDefault="00D37698" w:rsidP="00D37698">
            <w:pPr>
              <w:pStyle w:val="ListParagraph"/>
              <w:numPr>
                <w:ilvl w:val="0"/>
                <w:numId w:val="8"/>
              </w:numPr>
              <w:ind w:left="252" w:hanging="180"/>
              <w:rPr>
                <w:sz w:val="20"/>
                <w:szCs w:val="20"/>
              </w:rPr>
            </w:pPr>
            <w:r w:rsidRPr="00FE6BDE">
              <w:rPr>
                <w:sz w:val="20"/>
                <w:szCs w:val="20"/>
              </w:rPr>
              <w:t>Manganese products are sold on an FOB basis from the Port of Darwin.</w:t>
            </w:r>
          </w:p>
          <w:p w:rsidR="00D37698" w:rsidRPr="00FE6BDE" w:rsidRDefault="00D37698" w:rsidP="00D37698">
            <w:pPr>
              <w:pStyle w:val="ListParagraph"/>
              <w:numPr>
                <w:ilvl w:val="0"/>
                <w:numId w:val="8"/>
              </w:numPr>
              <w:ind w:left="252" w:hanging="180"/>
              <w:rPr>
                <w:sz w:val="20"/>
                <w:szCs w:val="20"/>
              </w:rPr>
            </w:pPr>
            <w:r w:rsidRPr="00FE6BDE">
              <w:rPr>
                <w:sz w:val="20"/>
                <w:szCs w:val="20"/>
              </w:rPr>
              <w:t>Factors effecting revenue include contained dtmu (dry metric tonne units) of manganese, and discounts for lower than benchmark manganese content or higher than specified iron content.</w:t>
            </w:r>
          </w:p>
          <w:p w:rsidR="00D37698" w:rsidRPr="00FE6BDE" w:rsidRDefault="00D37698" w:rsidP="00D37698">
            <w:pPr>
              <w:pStyle w:val="ListParagraph"/>
              <w:numPr>
                <w:ilvl w:val="0"/>
                <w:numId w:val="8"/>
              </w:numPr>
              <w:ind w:left="252" w:hanging="180"/>
              <w:rPr>
                <w:sz w:val="20"/>
                <w:szCs w:val="20"/>
              </w:rPr>
            </w:pPr>
            <w:r w:rsidRPr="00FE6BDE">
              <w:rPr>
                <w:sz w:val="20"/>
                <w:szCs w:val="20"/>
              </w:rPr>
              <w:t>Commodity price assumptions are based on an Independent Analysts 3 year forecast (Aug 2014) for Mn Price assumptions - CIF Chi</w:t>
            </w:r>
            <w:r>
              <w:rPr>
                <w:sz w:val="20"/>
                <w:szCs w:val="20"/>
              </w:rPr>
              <w:t>na GEMCO 44% of US$4.84</w:t>
            </w:r>
            <w:r w:rsidRPr="00FE6BDE">
              <w:rPr>
                <w:sz w:val="20"/>
                <w:szCs w:val="20"/>
              </w:rPr>
              <w:t>/dtmu with adjustments for selling and shipping costs, and for discounts specific to produc</w:t>
            </w:r>
            <w:r>
              <w:rPr>
                <w:sz w:val="20"/>
                <w:szCs w:val="20"/>
              </w:rPr>
              <w:t>t assay and size specifications to derive an FOB Darwin price of US$4.00/dtmu.</w:t>
            </w:r>
          </w:p>
          <w:p w:rsidR="00D37698" w:rsidRPr="00FE6BDE" w:rsidRDefault="00D37698" w:rsidP="00D37698">
            <w:pPr>
              <w:pStyle w:val="ListParagraph"/>
              <w:numPr>
                <w:ilvl w:val="0"/>
                <w:numId w:val="8"/>
              </w:numPr>
              <w:ind w:left="252" w:hanging="180"/>
              <w:rPr>
                <w:sz w:val="20"/>
                <w:szCs w:val="20"/>
              </w:rPr>
            </w:pPr>
            <w:r w:rsidRPr="00FE6BDE">
              <w:rPr>
                <w:sz w:val="20"/>
                <w:szCs w:val="20"/>
              </w:rPr>
              <w:t>Exchange rate (AUD</w:t>
            </w:r>
            <w:proofErr w:type="gramStart"/>
            <w:r w:rsidRPr="00FE6BDE">
              <w:rPr>
                <w:sz w:val="20"/>
                <w:szCs w:val="20"/>
              </w:rPr>
              <w:t>:USD</w:t>
            </w:r>
            <w:proofErr w:type="gramEnd"/>
            <w:r w:rsidRPr="00FE6BDE">
              <w:rPr>
                <w:sz w:val="20"/>
                <w:szCs w:val="20"/>
              </w:rPr>
              <w:t>) assumption is based on</w:t>
            </w:r>
            <w:r>
              <w:rPr>
                <w:sz w:val="20"/>
                <w:szCs w:val="20"/>
              </w:rPr>
              <w:t xml:space="preserve"> the current trading rate of 0.80 (Dec 2014), for a forecast FOB Darwin price of AU$5.00/dtmu.</w:t>
            </w:r>
          </w:p>
          <w:p w:rsidR="00D37698" w:rsidRPr="00FE6BDE" w:rsidRDefault="00D37698" w:rsidP="00D37698">
            <w:pPr>
              <w:pStyle w:val="ListParagraph"/>
              <w:numPr>
                <w:ilvl w:val="0"/>
                <w:numId w:val="4"/>
              </w:numPr>
              <w:ind w:left="252" w:hanging="180"/>
              <w:rPr>
                <w:sz w:val="20"/>
                <w:szCs w:val="20"/>
              </w:rPr>
            </w:pPr>
            <w:r w:rsidRPr="00FE6BDE">
              <w:rPr>
                <w:sz w:val="20"/>
                <w:szCs w:val="20"/>
              </w:rPr>
              <w:t>There are no saleable by-products.</w:t>
            </w:r>
          </w:p>
        </w:tc>
      </w:tr>
      <w:tr w:rsidR="00D37698" w:rsidRPr="00FE6BDE" w:rsidTr="00373CF7">
        <w:tc>
          <w:tcPr>
            <w:tcW w:w="2268" w:type="dxa"/>
          </w:tcPr>
          <w:p w:rsidR="00D37698" w:rsidRPr="00FE6BDE" w:rsidRDefault="00D37698" w:rsidP="00373CF7">
            <w:pPr>
              <w:rPr>
                <w:sz w:val="20"/>
                <w:szCs w:val="20"/>
              </w:rPr>
            </w:pPr>
            <w:r w:rsidRPr="00FE6BDE">
              <w:rPr>
                <w:sz w:val="20"/>
                <w:szCs w:val="20"/>
              </w:rPr>
              <w:t>Market assessment</w:t>
            </w:r>
          </w:p>
        </w:tc>
        <w:tc>
          <w:tcPr>
            <w:tcW w:w="6974" w:type="dxa"/>
          </w:tcPr>
          <w:p w:rsidR="00D37698" w:rsidRPr="00FE6BDE" w:rsidRDefault="00D37698" w:rsidP="00D37698">
            <w:pPr>
              <w:pStyle w:val="ListParagraph"/>
              <w:numPr>
                <w:ilvl w:val="0"/>
                <w:numId w:val="5"/>
              </w:numPr>
              <w:ind w:left="252" w:hanging="180"/>
              <w:rPr>
                <w:sz w:val="20"/>
                <w:szCs w:val="20"/>
              </w:rPr>
            </w:pPr>
            <w:r w:rsidRPr="00FE6BDE">
              <w:rPr>
                <w:sz w:val="20"/>
                <w:szCs w:val="20"/>
              </w:rPr>
              <w:t>According to the International Manganese Institute (“</w:t>
            </w:r>
            <w:proofErr w:type="spellStart"/>
            <w:r w:rsidRPr="00FE6BDE">
              <w:rPr>
                <w:sz w:val="20"/>
                <w:szCs w:val="20"/>
              </w:rPr>
              <w:t>IMnI</w:t>
            </w:r>
            <w:proofErr w:type="spellEnd"/>
            <w:r w:rsidRPr="00FE6BDE">
              <w:rPr>
                <w:sz w:val="20"/>
                <w:szCs w:val="20"/>
              </w:rPr>
              <w:t xml:space="preserve">”) China’s November 2014 year to date manganese ore imports reached 14.9 million tonnes, no </w:t>
            </w:r>
            <w:r>
              <w:rPr>
                <w:sz w:val="20"/>
                <w:szCs w:val="20"/>
              </w:rPr>
              <w:t>significant variation</w:t>
            </w:r>
            <w:r w:rsidRPr="00FE6BDE">
              <w:rPr>
                <w:sz w:val="20"/>
                <w:szCs w:val="20"/>
              </w:rPr>
              <w:t xml:space="preserve"> from the corresponding period in 2013. </w:t>
            </w:r>
          </w:p>
          <w:p w:rsidR="00D37698" w:rsidRPr="00FE6BDE" w:rsidRDefault="00D37698" w:rsidP="00D37698">
            <w:pPr>
              <w:pStyle w:val="ListParagraph"/>
              <w:numPr>
                <w:ilvl w:val="0"/>
                <w:numId w:val="5"/>
              </w:numPr>
              <w:ind w:left="252" w:hanging="180"/>
              <w:rPr>
                <w:sz w:val="20"/>
                <w:szCs w:val="20"/>
              </w:rPr>
            </w:pPr>
            <w:r w:rsidRPr="00FE6BDE">
              <w:rPr>
                <w:sz w:val="20"/>
                <w:szCs w:val="20"/>
              </w:rPr>
              <w:t>Demand, supply, stock and future volume assumptions for manganese are considered in the Independent Analysts 3 year price forecast (Aug 2014).</w:t>
            </w:r>
          </w:p>
          <w:p w:rsidR="00D37698" w:rsidRPr="00FE6BDE" w:rsidRDefault="00D37698" w:rsidP="00D37698">
            <w:pPr>
              <w:pStyle w:val="ListParagraph"/>
              <w:numPr>
                <w:ilvl w:val="0"/>
                <w:numId w:val="5"/>
              </w:numPr>
              <w:ind w:left="252" w:hanging="180"/>
              <w:rPr>
                <w:sz w:val="20"/>
                <w:szCs w:val="20"/>
              </w:rPr>
            </w:pPr>
            <w:r w:rsidRPr="00FE6BDE">
              <w:rPr>
                <w:sz w:val="20"/>
                <w:szCs w:val="20"/>
              </w:rPr>
              <w:lastRenderedPageBreak/>
              <w:t>Customer and competitor factors are considered in the Independent Analysts 3 year manganese price forecast (Aug 2014).</w:t>
            </w:r>
          </w:p>
          <w:p w:rsidR="00D37698" w:rsidRPr="00FE6BDE" w:rsidRDefault="00D37698" w:rsidP="00D37698">
            <w:pPr>
              <w:pStyle w:val="ListParagraph"/>
              <w:numPr>
                <w:ilvl w:val="0"/>
                <w:numId w:val="4"/>
              </w:numPr>
              <w:ind w:left="252" w:hanging="180"/>
              <w:rPr>
                <w:sz w:val="20"/>
                <w:szCs w:val="20"/>
              </w:rPr>
            </w:pPr>
            <w:r w:rsidRPr="00FE6BDE">
              <w:rPr>
                <w:sz w:val="20"/>
                <w:szCs w:val="20"/>
              </w:rPr>
              <w:t>Customer specification, testing and acceptance rely on an inbound assay. Occasional minor penalties may apply, but are not included in the Ore Reserve estimation.</w:t>
            </w:r>
          </w:p>
        </w:tc>
      </w:tr>
      <w:tr w:rsidR="00D37698" w:rsidRPr="00FE6BDE" w:rsidTr="00373CF7">
        <w:tc>
          <w:tcPr>
            <w:tcW w:w="2268" w:type="dxa"/>
          </w:tcPr>
          <w:p w:rsidR="00D37698" w:rsidRPr="00FE6BDE" w:rsidRDefault="00D37698" w:rsidP="00373CF7">
            <w:pPr>
              <w:rPr>
                <w:sz w:val="20"/>
                <w:szCs w:val="20"/>
              </w:rPr>
            </w:pPr>
            <w:r w:rsidRPr="00FE6BDE">
              <w:rPr>
                <w:sz w:val="20"/>
                <w:szCs w:val="20"/>
              </w:rPr>
              <w:lastRenderedPageBreak/>
              <w:t>Economic</w:t>
            </w:r>
          </w:p>
        </w:tc>
        <w:tc>
          <w:tcPr>
            <w:tcW w:w="6974" w:type="dxa"/>
          </w:tcPr>
          <w:p w:rsidR="00D37698" w:rsidRPr="00FE6BDE" w:rsidRDefault="00D37698" w:rsidP="00D37698">
            <w:pPr>
              <w:pStyle w:val="ListParagraph"/>
              <w:numPr>
                <w:ilvl w:val="0"/>
                <w:numId w:val="5"/>
              </w:numPr>
              <w:ind w:left="252" w:hanging="180"/>
              <w:rPr>
                <w:sz w:val="20"/>
                <w:szCs w:val="20"/>
              </w:rPr>
            </w:pPr>
            <w:r w:rsidRPr="00FE6BDE">
              <w:rPr>
                <w:sz w:val="20"/>
                <w:szCs w:val="20"/>
              </w:rPr>
              <w:t>NPV ranges and sensitivity to variations are not included in the Ore Reserve estimation process.</w:t>
            </w:r>
          </w:p>
        </w:tc>
      </w:tr>
      <w:tr w:rsidR="00D37698" w:rsidRPr="00FE6BDE" w:rsidTr="00373CF7">
        <w:tc>
          <w:tcPr>
            <w:tcW w:w="2268" w:type="dxa"/>
          </w:tcPr>
          <w:p w:rsidR="00D37698" w:rsidRPr="00FE6BDE" w:rsidRDefault="00D37698" w:rsidP="00373CF7">
            <w:pPr>
              <w:rPr>
                <w:sz w:val="20"/>
                <w:szCs w:val="20"/>
              </w:rPr>
            </w:pPr>
            <w:r w:rsidRPr="00FE6BDE">
              <w:rPr>
                <w:sz w:val="20"/>
                <w:szCs w:val="20"/>
              </w:rPr>
              <w:t>Social</w:t>
            </w:r>
          </w:p>
        </w:tc>
        <w:tc>
          <w:tcPr>
            <w:tcW w:w="6974" w:type="dxa"/>
          </w:tcPr>
          <w:p w:rsidR="00D37698" w:rsidRPr="00FE6BDE" w:rsidRDefault="00D37698" w:rsidP="00D37698">
            <w:pPr>
              <w:pStyle w:val="ListParagraph"/>
              <w:numPr>
                <w:ilvl w:val="0"/>
                <w:numId w:val="5"/>
              </w:numPr>
              <w:ind w:left="252" w:hanging="180"/>
              <w:rPr>
                <w:sz w:val="20"/>
                <w:szCs w:val="20"/>
              </w:rPr>
            </w:pPr>
            <w:r w:rsidRPr="00FE6BDE">
              <w:rPr>
                <w:sz w:val="20"/>
                <w:szCs w:val="20"/>
              </w:rPr>
              <w:t xml:space="preserve">All necessary agreements and authorities are in place with Traditional Owners for mining and royalties (via the Northern Land Council) and for heritage clearance and sacred sites (via the Aboriginal Areas Protection Authority).  </w:t>
            </w:r>
          </w:p>
        </w:tc>
      </w:tr>
      <w:tr w:rsidR="00D37698" w:rsidRPr="00FE6BDE" w:rsidTr="00373CF7">
        <w:tc>
          <w:tcPr>
            <w:tcW w:w="2268" w:type="dxa"/>
          </w:tcPr>
          <w:p w:rsidR="00D37698" w:rsidRPr="00FE6BDE" w:rsidRDefault="00D37698" w:rsidP="00373CF7">
            <w:pPr>
              <w:rPr>
                <w:sz w:val="20"/>
                <w:szCs w:val="20"/>
              </w:rPr>
            </w:pPr>
            <w:r w:rsidRPr="00FE6BDE">
              <w:rPr>
                <w:sz w:val="20"/>
                <w:szCs w:val="20"/>
              </w:rPr>
              <w:t>Other</w:t>
            </w:r>
          </w:p>
        </w:tc>
        <w:tc>
          <w:tcPr>
            <w:tcW w:w="6974" w:type="dxa"/>
          </w:tcPr>
          <w:p w:rsidR="00D37698" w:rsidRPr="00FE6BDE" w:rsidRDefault="00D37698" w:rsidP="00D37698">
            <w:pPr>
              <w:pStyle w:val="ListParagraph"/>
              <w:numPr>
                <w:ilvl w:val="0"/>
                <w:numId w:val="5"/>
              </w:numPr>
              <w:ind w:left="252" w:hanging="180"/>
              <w:rPr>
                <w:sz w:val="20"/>
                <w:szCs w:val="20"/>
              </w:rPr>
            </w:pPr>
            <w:r w:rsidRPr="00FE6BDE">
              <w:rPr>
                <w:sz w:val="20"/>
                <w:szCs w:val="20"/>
              </w:rPr>
              <w:t>The only significant naturally occurring risk is delays incurred from cyclone related flooding of the mine site or railway line to Darwin.</w:t>
            </w:r>
          </w:p>
          <w:p w:rsidR="00D37698" w:rsidRPr="00FE6BDE" w:rsidRDefault="00D37698" w:rsidP="00D37698">
            <w:pPr>
              <w:pStyle w:val="ListParagraph"/>
              <w:numPr>
                <w:ilvl w:val="0"/>
                <w:numId w:val="5"/>
              </w:numPr>
              <w:ind w:left="252" w:hanging="180"/>
              <w:rPr>
                <w:sz w:val="20"/>
                <w:szCs w:val="20"/>
              </w:rPr>
            </w:pPr>
            <w:r w:rsidRPr="00FE6BDE">
              <w:rPr>
                <w:sz w:val="20"/>
                <w:szCs w:val="20"/>
              </w:rPr>
              <w:t>All material legal agreements and marketing arrangements are in place.</w:t>
            </w:r>
          </w:p>
          <w:p w:rsidR="00D37698" w:rsidRPr="00FE6BDE" w:rsidRDefault="00D37698" w:rsidP="00D37698">
            <w:pPr>
              <w:pStyle w:val="ListParagraph"/>
              <w:numPr>
                <w:ilvl w:val="0"/>
                <w:numId w:val="5"/>
              </w:numPr>
              <w:ind w:left="252" w:hanging="180"/>
              <w:rPr>
                <w:sz w:val="20"/>
                <w:szCs w:val="20"/>
              </w:rPr>
            </w:pPr>
            <w:r w:rsidRPr="00FE6BDE">
              <w:rPr>
                <w:sz w:val="20"/>
                <w:szCs w:val="20"/>
              </w:rPr>
              <w:t xml:space="preserve">All government approvals (including the Mine Management Plan and Mineral Lease), licences, clearances and bonds necessary to operate the Bootu Creek mine site and processing plant are in place.  </w:t>
            </w:r>
          </w:p>
        </w:tc>
      </w:tr>
      <w:tr w:rsidR="00D37698" w:rsidRPr="00FE6BDE" w:rsidTr="00373CF7">
        <w:tc>
          <w:tcPr>
            <w:tcW w:w="2268" w:type="dxa"/>
          </w:tcPr>
          <w:p w:rsidR="00D37698" w:rsidRPr="00FE6BDE" w:rsidRDefault="00D37698" w:rsidP="00373CF7">
            <w:pPr>
              <w:rPr>
                <w:sz w:val="20"/>
                <w:szCs w:val="20"/>
              </w:rPr>
            </w:pPr>
            <w:r w:rsidRPr="00FE6BDE">
              <w:rPr>
                <w:sz w:val="20"/>
                <w:szCs w:val="20"/>
              </w:rPr>
              <w:t>Classification</w:t>
            </w:r>
          </w:p>
        </w:tc>
        <w:tc>
          <w:tcPr>
            <w:tcW w:w="6974" w:type="dxa"/>
          </w:tcPr>
          <w:p w:rsidR="00D37698" w:rsidRPr="00FE6BDE" w:rsidRDefault="00D37698" w:rsidP="00D37698">
            <w:pPr>
              <w:pStyle w:val="ListParagraph"/>
              <w:numPr>
                <w:ilvl w:val="0"/>
                <w:numId w:val="5"/>
              </w:numPr>
              <w:ind w:left="252" w:hanging="180"/>
              <w:rPr>
                <w:sz w:val="20"/>
                <w:szCs w:val="20"/>
              </w:rPr>
            </w:pPr>
            <w:r w:rsidRPr="00FE6BDE">
              <w:rPr>
                <w:sz w:val="20"/>
                <w:szCs w:val="20"/>
              </w:rPr>
              <w:t>Proven Ore Reserves are restricted to in-situ Measured Resources contained within mine designs based on pit optimisation at the current budget cost and revenue assumptions, plus surface Ore Stocks.</w:t>
            </w:r>
          </w:p>
          <w:p w:rsidR="00D37698" w:rsidRPr="00FE6BDE" w:rsidRDefault="00D37698" w:rsidP="00D37698">
            <w:pPr>
              <w:pStyle w:val="ListParagraph"/>
              <w:numPr>
                <w:ilvl w:val="0"/>
                <w:numId w:val="5"/>
              </w:numPr>
              <w:ind w:left="252" w:hanging="180"/>
              <w:rPr>
                <w:sz w:val="20"/>
                <w:szCs w:val="20"/>
              </w:rPr>
            </w:pPr>
            <w:r w:rsidRPr="00FE6BDE">
              <w:rPr>
                <w:sz w:val="20"/>
                <w:szCs w:val="20"/>
              </w:rPr>
              <w:t>Probable Ore Reserves are restricted to Indicated Resources contained within mine designs based on pit optimisation at the current budget cost and revenue assumptions.</w:t>
            </w:r>
          </w:p>
          <w:p w:rsidR="00D37698" w:rsidRPr="00FE6BDE" w:rsidRDefault="00D37698" w:rsidP="00D37698">
            <w:pPr>
              <w:pStyle w:val="ListParagraph"/>
              <w:numPr>
                <w:ilvl w:val="0"/>
                <w:numId w:val="5"/>
              </w:numPr>
              <w:ind w:left="252" w:hanging="180"/>
              <w:rPr>
                <w:sz w:val="20"/>
                <w:szCs w:val="20"/>
              </w:rPr>
            </w:pPr>
            <w:r w:rsidRPr="00FE6BDE">
              <w:rPr>
                <w:sz w:val="20"/>
                <w:szCs w:val="20"/>
              </w:rPr>
              <w:t>The Ore Reserve classification appropriately reflects the Competent Person’s view of the deposit.</w:t>
            </w:r>
          </w:p>
          <w:p w:rsidR="00D37698" w:rsidRPr="00FE6BDE" w:rsidRDefault="00D37698" w:rsidP="00D37698">
            <w:pPr>
              <w:pStyle w:val="ListParagraph"/>
              <w:numPr>
                <w:ilvl w:val="0"/>
                <w:numId w:val="4"/>
              </w:numPr>
              <w:ind w:left="252" w:hanging="180"/>
              <w:rPr>
                <w:sz w:val="20"/>
                <w:szCs w:val="20"/>
              </w:rPr>
            </w:pPr>
            <w:r w:rsidRPr="00FE6BDE">
              <w:rPr>
                <w:sz w:val="20"/>
                <w:szCs w:val="20"/>
              </w:rPr>
              <w:t xml:space="preserve">No Probable Ore Reserves are derived from Measured Resources. </w:t>
            </w:r>
          </w:p>
        </w:tc>
      </w:tr>
      <w:tr w:rsidR="00D37698" w:rsidRPr="00FE6BDE" w:rsidTr="00373CF7">
        <w:tc>
          <w:tcPr>
            <w:tcW w:w="2268" w:type="dxa"/>
          </w:tcPr>
          <w:p w:rsidR="00D37698" w:rsidRPr="00FE6BDE" w:rsidRDefault="00D37698" w:rsidP="00373CF7">
            <w:pPr>
              <w:rPr>
                <w:sz w:val="20"/>
                <w:szCs w:val="20"/>
              </w:rPr>
            </w:pPr>
            <w:r w:rsidRPr="00FE6BDE">
              <w:rPr>
                <w:sz w:val="20"/>
                <w:szCs w:val="20"/>
              </w:rPr>
              <w:t>Audits and reviews</w:t>
            </w:r>
          </w:p>
        </w:tc>
        <w:tc>
          <w:tcPr>
            <w:tcW w:w="6974" w:type="dxa"/>
          </w:tcPr>
          <w:p w:rsidR="00D37698" w:rsidRPr="00FE6BDE" w:rsidRDefault="00D37698" w:rsidP="00D37698">
            <w:pPr>
              <w:pStyle w:val="ListParagraph"/>
              <w:numPr>
                <w:ilvl w:val="0"/>
                <w:numId w:val="4"/>
              </w:numPr>
              <w:ind w:left="284" w:hanging="200"/>
              <w:rPr>
                <w:sz w:val="20"/>
                <w:szCs w:val="20"/>
              </w:rPr>
            </w:pPr>
            <w:r w:rsidRPr="00FE6BDE">
              <w:rPr>
                <w:sz w:val="20"/>
                <w:szCs w:val="20"/>
              </w:rPr>
              <w:t>There has been no independent audit of the 31 December 2014 Ore Reserve estimates.</w:t>
            </w:r>
          </w:p>
        </w:tc>
      </w:tr>
      <w:tr w:rsidR="00D37698" w:rsidRPr="00FE6BDE" w:rsidTr="00373CF7">
        <w:tc>
          <w:tcPr>
            <w:tcW w:w="2268" w:type="dxa"/>
          </w:tcPr>
          <w:p w:rsidR="00D37698" w:rsidRPr="00FE6BDE" w:rsidRDefault="00D37698" w:rsidP="00373CF7">
            <w:pPr>
              <w:rPr>
                <w:sz w:val="20"/>
                <w:szCs w:val="20"/>
              </w:rPr>
            </w:pPr>
            <w:r w:rsidRPr="00FE6BDE">
              <w:rPr>
                <w:sz w:val="20"/>
                <w:szCs w:val="20"/>
              </w:rPr>
              <w:t>Discussion of relative accuracy/confidence</w:t>
            </w:r>
          </w:p>
        </w:tc>
        <w:tc>
          <w:tcPr>
            <w:tcW w:w="6974" w:type="dxa"/>
          </w:tcPr>
          <w:p w:rsidR="00D37698" w:rsidRPr="00FE6BDE" w:rsidRDefault="00D37698" w:rsidP="00D37698">
            <w:pPr>
              <w:pStyle w:val="ListParagraph"/>
              <w:numPr>
                <w:ilvl w:val="0"/>
                <w:numId w:val="5"/>
              </w:numPr>
              <w:ind w:left="252" w:hanging="180"/>
              <w:rPr>
                <w:sz w:val="20"/>
                <w:szCs w:val="20"/>
              </w:rPr>
            </w:pPr>
            <w:r w:rsidRPr="00FE6BDE">
              <w:rPr>
                <w:rFonts w:ascii="Calibri" w:hAnsi="Calibri"/>
                <w:sz w:val="20"/>
                <w:szCs w:val="20"/>
              </w:rPr>
              <w:t>Annual reconciliation of mined Ore Reserve blocks is used to compare mine production with the mined Ore Reserve estimates, and where used to update the mining recovery and dilution factors applied to the 31 December 2014 Ore Reserve estimation process.</w:t>
            </w:r>
            <w:r w:rsidRPr="00FE6BDE">
              <w:rPr>
                <w:sz w:val="20"/>
                <w:szCs w:val="20"/>
              </w:rPr>
              <w:t xml:space="preserve">  </w:t>
            </w:r>
          </w:p>
        </w:tc>
      </w:tr>
    </w:tbl>
    <w:p w:rsidR="00D37698" w:rsidRPr="00FE6BDE" w:rsidRDefault="00D37698" w:rsidP="00D37698"/>
    <w:p w:rsidR="00D37698" w:rsidRPr="00FE6BDE" w:rsidRDefault="00D37698" w:rsidP="00D37698">
      <w:pPr>
        <w:rPr>
          <w:rFonts w:ascii="Calibri" w:eastAsia="Calibri" w:hAnsi="Calibri" w:cs="Times New Roman"/>
          <w:sz w:val="20"/>
          <w:szCs w:val="20"/>
        </w:rPr>
      </w:pPr>
      <w:r w:rsidRPr="00FE6BDE">
        <w:t xml:space="preserve"> </w:t>
      </w:r>
    </w:p>
    <w:p w:rsidR="00D37698" w:rsidRPr="00FE6BDE" w:rsidRDefault="00D37698" w:rsidP="00D37698">
      <w:pPr>
        <w:spacing w:line="240" w:lineRule="auto"/>
        <w:jc w:val="both"/>
        <w:rPr>
          <w:rFonts w:ascii="Calibri" w:eastAsia="Calibri" w:hAnsi="Calibri" w:cs="Times New Roman"/>
          <w:b/>
          <w:sz w:val="28"/>
          <w:szCs w:val="28"/>
        </w:rPr>
      </w:pPr>
    </w:p>
    <w:p w:rsidR="00895062" w:rsidRDefault="00895062"/>
    <w:sectPr w:rsidR="008950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B32F5"/>
    <w:multiLevelType w:val="hybridMultilevel"/>
    <w:tmpl w:val="501E1F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BAE2202"/>
    <w:multiLevelType w:val="hybridMultilevel"/>
    <w:tmpl w:val="DF44B9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B70134E"/>
    <w:multiLevelType w:val="hybridMultilevel"/>
    <w:tmpl w:val="19B6DA74"/>
    <w:lvl w:ilvl="0" w:tplc="0C090001">
      <w:start w:val="1"/>
      <w:numFmt w:val="bullet"/>
      <w:lvlText w:val=""/>
      <w:lvlJc w:val="left"/>
      <w:pPr>
        <w:ind w:left="777" w:hanging="360"/>
      </w:pPr>
      <w:rPr>
        <w:rFonts w:ascii="Symbol" w:hAnsi="Symbol" w:hint="default"/>
      </w:rPr>
    </w:lvl>
    <w:lvl w:ilvl="1" w:tplc="0C090003">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3">
    <w:nsid w:val="32A651D6"/>
    <w:multiLevelType w:val="hybridMultilevel"/>
    <w:tmpl w:val="5A7E04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78C0B9B"/>
    <w:multiLevelType w:val="hybridMultilevel"/>
    <w:tmpl w:val="D2D6EAF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nsid w:val="49E7664C"/>
    <w:multiLevelType w:val="hybridMultilevel"/>
    <w:tmpl w:val="670EE56A"/>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6">
    <w:nsid w:val="4B291AD5"/>
    <w:multiLevelType w:val="hybridMultilevel"/>
    <w:tmpl w:val="50AA074C"/>
    <w:lvl w:ilvl="0" w:tplc="0C090001">
      <w:start w:val="1"/>
      <w:numFmt w:val="bullet"/>
      <w:lvlText w:val=""/>
      <w:lvlJc w:val="left"/>
      <w:pPr>
        <w:ind w:left="792" w:hanging="360"/>
      </w:pPr>
      <w:rPr>
        <w:rFonts w:ascii="Symbol" w:hAnsi="Symbol" w:hint="default"/>
      </w:rPr>
    </w:lvl>
    <w:lvl w:ilvl="1" w:tplc="0C090003" w:tentative="1">
      <w:start w:val="1"/>
      <w:numFmt w:val="bullet"/>
      <w:lvlText w:val="o"/>
      <w:lvlJc w:val="left"/>
      <w:pPr>
        <w:ind w:left="1512" w:hanging="360"/>
      </w:pPr>
      <w:rPr>
        <w:rFonts w:ascii="Courier New" w:hAnsi="Courier New" w:cs="Courier New" w:hint="default"/>
      </w:rPr>
    </w:lvl>
    <w:lvl w:ilvl="2" w:tplc="0C090005" w:tentative="1">
      <w:start w:val="1"/>
      <w:numFmt w:val="bullet"/>
      <w:lvlText w:val=""/>
      <w:lvlJc w:val="left"/>
      <w:pPr>
        <w:ind w:left="2232" w:hanging="360"/>
      </w:pPr>
      <w:rPr>
        <w:rFonts w:ascii="Wingdings" w:hAnsi="Wingdings" w:hint="default"/>
      </w:rPr>
    </w:lvl>
    <w:lvl w:ilvl="3" w:tplc="0C090001" w:tentative="1">
      <w:start w:val="1"/>
      <w:numFmt w:val="bullet"/>
      <w:lvlText w:val=""/>
      <w:lvlJc w:val="left"/>
      <w:pPr>
        <w:ind w:left="2952" w:hanging="360"/>
      </w:pPr>
      <w:rPr>
        <w:rFonts w:ascii="Symbol" w:hAnsi="Symbol" w:hint="default"/>
      </w:rPr>
    </w:lvl>
    <w:lvl w:ilvl="4" w:tplc="0C090003" w:tentative="1">
      <w:start w:val="1"/>
      <w:numFmt w:val="bullet"/>
      <w:lvlText w:val="o"/>
      <w:lvlJc w:val="left"/>
      <w:pPr>
        <w:ind w:left="3672" w:hanging="360"/>
      </w:pPr>
      <w:rPr>
        <w:rFonts w:ascii="Courier New" w:hAnsi="Courier New" w:cs="Courier New" w:hint="default"/>
      </w:rPr>
    </w:lvl>
    <w:lvl w:ilvl="5" w:tplc="0C090005" w:tentative="1">
      <w:start w:val="1"/>
      <w:numFmt w:val="bullet"/>
      <w:lvlText w:val=""/>
      <w:lvlJc w:val="left"/>
      <w:pPr>
        <w:ind w:left="4392" w:hanging="360"/>
      </w:pPr>
      <w:rPr>
        <w:rFonts w:ascii="Wingdings" w:hAnsi="Wingdings" w:hint="default"/>
      </w:rPr>
    </w:lvl>
    <w:lvl w:ilvl="6" w:tplc="0C090001" w:tentative="1">
      <w:start w:val="1"/>
      <w:numFmt w:val="bullet"/>
      <w:lvlText w:val=""/>
      <w:lvlJc w:val="left"/>
      <w:pPr>
        <w:ind w:left="5112" w:hanging="360"/>
      </w:pPr>
      <w:rPr>
        <w:rFonts w:ascii="Symbol" w:hAnsi="Symbol" w:hint="default"/>
      </w:rPr>
    </w:lvl>
    <w:lvl w:ilvl="7" w:tplc="0C090003" w:tentative="1">
      <w:start w:val="1"/>
      <w:numFmt w:val="bullet"/>
      <w:lvlText w:val="o"/>
      <w:lvlJc w:val="left"/>
      <w:pPr>
        <w:ind w:left="5832" w:hanging="360"/>
      </w:pPr>
      <w:rPr>
        <w:rFonts w:ascii="Courier New" w:hAnsi="Courier New" w:cs="Courier New" w:hint="default"/>
      </w:rPr>
    </w:lvl>
    <w:lvl w:ilvl="8" w:tplc="0C090005" w:tentative="1">
      <w:start w:val="1"/>
      <w:numFmt w:val="bullet"/>
      <w:lvlText w:val=""/>
      <w:lvlJc w:val="left"/>
      <w:pPr>
        <w:ind w:left="6552" w:hanging="360"/>
      </w:pPr>
      <w:rPr>
        <w:rFonts w:ascii="Wingdings" w:hAnsi="Wingdings" w:hint="default"/>
      </w:rPr>
    </w:lvl>
  </w:abstractNum>
  <w:abstractNum w:abstractNumId="7">
    <w:nsid w:val="58B2622F"/>
    <w:multiLevelType w:val="hybridMultilevel"/>
    <w:tmpl w:val="E638A5F8"/>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8">
    <w:nsid w:val="5E0705BC"/>
    <w:multiLevelType w:val="hybridMultilevel"/>
    <w:tmpl w:val="B74C7E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
  </w:num>
  <w:num w:numId="4">
    <w:abstractNumId w:val="0"/>
  </w:num>
  <w:num w:numId="5">
    <w:abstractNumId w:val="6"/>
  </w:num>
  <w:num w:numId="6">
    <w:abstractNumId w:val="4"/>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698"/>
    <w:rsid w:val="00895062"/>
    <w:rsid w:val="00D3769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37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7698"/>
    <w:pPr>
      <w:ind w:left="720"/>
      <w:contextualSpacing/>
    </w:pPr>
  </w:style>
  <w:style w:type="table" w:customStyle="1" w:styleId="TableGrid1">
    <w:name w:val="Table Grid1"/>
    <w:basedOn w:val="TableNormal"/>
    <w:next w:val="TableGrid"/>
    <w:uiPriority w:val="59"/>
    <w:rsid w:val="00D37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37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7698"/>
    <w:pPr>
      <w:ind w:left="720"/>
      <w:contextualSpacing/>
    </w:pPr>
  </w:style>
  <w:style w:type="table" w:customStyle="1" w:styleId="TableGrid1">
    <w:name w:val="Table Grid1"/>
    <w:basedOn w:val="TableNormal"/>
    <w:next w:val="TableGrid"/>
    <w:uiPriority w:val="59"/>
    <w:rsid w:val="00D37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4198</Words>
  <Characters>23929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Reddell</dc:creator>
  <cp:lastModifiedBy>Craig Reddell</cp:lastModifiedBy>
  <cp:revision>1</cp:revision>
  <dcterms:created xsi:type="dcterms:W3CDTF">2015-03-23T02:06:00Z</dcterms:created>
  <dcterms:modified xsi:type="dcterms:W3CDTF">2015-03-23T02:07:00Z</dcterms:modified>
</cp:coreProperties>
</file>